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71" w:rsidRPr="0070757C" w:rsidRDefault="002A5371" w:rsidP="0070757C">
      <w:pPr>
        <w:rPr>
          <w:i/>
          <w:sz w:val="16"/>
          <w:szCs w:val="16"/>
          <w:lang w:val="en-GB"/>
        </w:rPr>
      </w:pPr>
    </w:p>
    <w:p w:rsidR="002A5371" w:rsidRPr="00EE2575" w:rsidRDefault="002A5371" w:rsidP="002A5371">
      <w:pPr>
        <w:jc w:val="center"/>
        <w:rPr>
          <w:b/>
          <w:caps/>
          <w:lang w:val="en-GB"/>
        </w:rPr>
      </w:pPr>
      <w:r w:rsidRPr="00EE2575">
        <w:rPr>
          <w:b/>
          <w:caps/>
          <w:lang w:val="en-GB"/>
        </w:rPr>
        <w:t xml:space="preserve">description of the course of study </w:t>
      </w:r>
    </w:p>
    <w:p w:rsidR="002A5371" w:rsidRPr="00EE2575" w:rsidRDefault="002A5371" w:rsidP="002A5371">
      <w:pPr>
        <w:jc w:val="center"/>
        <w:rPr>
          <w:b/>
          <w:lang w:val="en-GB"/>
        </w:rPr>
      </w:pPr>
    </w:p>
    <w:tbl>
      <w:tblPr>
        <w:tblW w:w="9649" w:type="dxa"/>
        <w:tblInd w:w="-5" w:type="dxa"/>
        <w:tblLayout w:type="fixed"/>
        <w:tblLook w:val="0000"/>
      </w:tblPr>
      <w:tblGrid>
        <w:gridCol w:w="2299"/>
        <w:gridCol w:w="1318"/>
        <w:gridCol w:w="6032"/>
      </w:tblGrid>
      <w:tr w:rsidR="002A5371" w:rsidRPr="00EE2575" w:rsidTr="00937612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71" w:rsidRPr="00EE2575" w:rsidRDefault="002A5371" w:rsidP="002A5371">
            <w:pPr>
              <w:snapToGrid w:val="0"/>
              <w:rPr>
                <w:b/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5371" w:rsidRPr="00827491" w:rsidRDefault="002A5371" w:rsidP="002A5371">
            <w:pPr>
              <w:tabs>
                <w:tab w:val="left" w:pos="2400"/>
                <w:tab w:val="center" w:pos="3567"/>
              </w:tabs>
              <w:snapToGri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ab/>
            </w:r>
            <w:r>
              <w:rPr>
                <w:b/>
                <w:lang w:val="en-GB"/>
              </w:rPr>
              <w:tab/>
            </w:r>
            <w:r w:rsidRPr="00827491">
              <w:rPr>
                <w:b/>
                <w:lang w:val="en-GB"/>
              </w:rPr>
              <w:t>0912-7LEK-C3.1-G</w:t>
            </w:r>
          </w:p>
        </w:tc>
      </w:tr>
      <w:tr w:rsidR="002A5371" w:rsidRPr="00EE2575" w:rsidTr="00937612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71" w:rsidRPr="00EE2575" w:rsidRDefault="002A5371" w:rsidP="002A5371">
            <w:pPr>
              <w:snapToGrid w:val="0"/>
              <w:rPr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Name of the course in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71" w:rsidRPr="00EE2575" w:rsidRDefault="002A5371" w:rsidP="002A5371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71" w:rsidRPr="00827491" w:rsidRDefault="002A5371" w:rsidP="002A5371">
            <w:pPr>
              <w:snapToGrid w:val="0"/>
              <w:jc w:val="center"/>
              <w:rPr>
                <w:b/>
                <w:lang w:val="en-GB"/>
              </w:rPr>
            </w:pPr>
            <w:r w:rsidRPr="00827491">
              <w:rPr>
                <w:b/>
                <w:lang w:val="en-GB"/>
              </w:rPr>
              <w:t>Genetyka</w:t>
            </w:r>
          </w:p>
        </w:tc>
      </w:tr>
      <w:tr w:rsidR="002A5371" w:rsidRPr="00EE2575" w:rsidTr="00937612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71" w:rsidRPr="00EE2575" w:rsidRDefault="002A5371" w:rsidP="002A5371">
            <w:pPr>
              <w:snapToGrid w:val="0"/>
              <w:rPr>
                <w:b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71" w:rsidRPr="00EE2575" w:rsidRDefault="002A5371" w:rsidP="002A5371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71" w:rsidRPr="00827491" w:rsidRDefault="002A5371" w:rsidP="002A5371">
            <w:pPr>
              <w:snapToGrid w:val="0"/>
              <w:jc w:val="center"/>
              <w:rPr>
                <w:b/>
                <w:lang w:val="en-GB"/>
              </w:rPr>
            </w:pPr>
            <w:r w:rsidRPr="00827491">
              <w:rPr>
                <w:b/>
                <w:lang w:val="en-GB"/>
              </w:rPr>
              <w:t>Genetics</w:t>
            </w:r>
          </w:p>
        </w:tc>
      </w:tr>
    </w:tbl>
    <w:p w:rsidR="002A5371" w:rsidRPr="00EE2575" w:rsidRDefault="002A5371" w:rsidP="002A5371">
      <w:pPr>
        <w:rPr>
          <w:b/>
          <w:lang w:val="en-GB"/>
        </w:rPr>
      </w:pPr>
    </w:p>
    <w:p w:rsidR="002A5371" w:rsidRPr="00EE2575" w:rsidRDefault="002A5371" w:rsidP="002A5371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LOCATION OF THE </w:t>
      </w:r>
      <w:r w:rsidRPr="00EE2575">
        <w:rPr>
          <w:b/>
          <w:caps/>
          <w:sz w:val="20"/>
          <w:szCs w:val="20"/>
          <w:lang w:val="en-GB"/>
        </w:rPr>
        <w:t>course</w:t>
      </w:r>
      <w:r w:rsidRPr="00EE2575">
        <w:rPr>
          <w:b/>
          <w:sz w:val="20"/>
          <w:szCs w:val="20"/>
          <w:lang w:val="en-GB"/>
        </w:rPr>
        <w:t xml:space="preserve"> OF STUDY </w:t>
      </w:r>
      <w:r w:rsidRPr="00EE2575">
        <w:rPr>
          <w:b/>
          <w:caps/>
          <w:sz w:val="20"/>
          <w:szCs w:val="20"/>
          <w:lang w:val="en-GB"/>
        </w:rPr>
        <w:t>within the system of studies</w:t>
      </w:r>
    </w:p>
    <w:tbl>
      <w:tblPr>
        <w:tblW w:w="9670" w:type="dxa"/>
        <w:tblInd w:w="-5" w:type="dxa"/>
        <w:tblLayout w:type="fixed"/>
        <w:tblLook w:val="0000"/>
      </w:tblPr>
      <w:tblGrid>
        <w:gridCol w:w="5024"/>
        <w:gridCol w:w="4646"/>
      </w:tblGrid>
      <w:tr w:rsidR="002A5371" w:rsidRPr="00EE2575" w:rsidTr="00937612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71" w:rsidRPr="00EE2575" w:rsidRDefault="002A5371" w:rsidP="002A537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71" w:rsidRPr="00827491" w:rsidRDefault="002A5371" w:rsidP="002A5371">
            <w:pPr>
              <w:snapToGrid w:val="0"/>
              <w:rPr>
                <w:sz w:val="20"/>
                <w:szCs w:val="20"/>
                <w:lang w:val="en-GB"/>
              </w:rPr>
            </w:pPr>
            <w:r w:rsidRPr="00C84051">
              <w:rPr>
                <w:sz w:val="20"/>
                <w:szCs w:val="20"/>
                <w:lang w:val="en-GB"/>
              </w:rPr>
              <w:t>Medicine</w:t>
            </w:r>
          </w:p>
        </w:tc>
      </w:tr>
      <w:tr w:rsidR="002A5371" w:rsidRPr="00EE2575" w:rsidTr="00937612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71" w:rsidRPr="00EE2575" w:rsidRDefault="002A5371" w:rsidP="002A537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71" w:rsidRPr="00827491" w:rsidRDefault="002A5371" w:rsidP="002A5371">
            <w:pPr>
              <w:snapToGrid w:val="0"/>
              <w:rPr>
                <w:sz w:val="20"/>
                <w:szCs w:val="20"/>
                <w:lang w:val="en-GB"/>
              </w:rPr>
            </w:pPr>
            <w:r w:rsidRPr="00C84051">
              <w:rPr>
                <w:sz w:val="20"/>
                <w:szCs w:val="20"/>
                <w:lang w:val="en-GB"/>
              </w:rPr>
              <w:t>Full-time</w:t>
            </w:r>
          </w:p>
        </w:tc>
      </w:tr>
      <w:tr w:rsidR="002A5371" w:rsidRPr="00EE2575" w:rsidTr="00937612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71" w:rsidRPr="00EE2575" w:rsidRDefault="002A5371" w:rsidP="002A537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71" w:rsidRPr="00827491" w:rsidRDefault="002A5371" w:rsidP="002A5371">
            <w:pPr>
              <w:snapToGrid w:val="0"/>
              <w:rPr>
                <w:sz w:val="20"/>
                <w:szCs w:val="20"/>
                <w:lang w:val="en-GB"/>
              </w:rPr>
            </w:pPr>
            <w:r w:rsidRPr="00C84051">
              <w:rPr>
                <w:sz w:val="20"/>
                <w:szCs w:val="20"/>
                <w:lang w:val="en-GB"/>
              </w:rPr>
              <w:t>Uniform master’s studies</w:t>
            </w:r>
          </w:p>
        </w:tc>
      </w:tr>
      <w:tr w:rsidR="002A5371" w:rsidRPr="00EE2575" w:rsidTr="00937612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71" w:rsidRPr="00EE2575" w:rsidRDefault="002A5371" w:rsidP="002A537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71" w:rsidRPr="00827491" w:rsidRDefault="002A5371" w:rsidP="002A5371">
            <w:pPr>
              <w:snapToGrid w:val="0"/>
              <w:rPr>
                <w:sz w:val="20"/>
                <w:szCs w:val="20"/>
                <w:lang w:val="en-GB"/>
              </w:rPr>
            </w:pPr>
            <w:r w:rsidRPr="00C84051">
              <w:rPr>
                <w:sz w:val="20"/>
                <w:szCs w:val="20"/>
                <w:lang w:val="en-GB"/>
              </w:rPr>
              <w:t>General academic</w:t>
            </w:r>
          </w:p>
        </w:tc>
      </w:tr>
      <w:tr w:rsidR="002A5371" w:rsidRPr="00A5349E" w:rsidTr="00937612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71" w:rsidRPr="00EE2575" w:rsidRDefault="002A5371" w:rsidP="002A537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</w:t>
            </w:r>
            <w:r>
              <w:rPr>
                <w:b/>
                <w:sz w:val="20"/>
                <w:szCs w:val="20"/>
                <w:lang w:val="en-GB"/>
              </w:rPr>
              <w:t>5</w:t>
            </w:r>
            <w:r w:rsidRPr="00EE2575">
              <w:rPr>
                <w:b/>
                <w:sz w:val="20"/>
                <w:szCs w:val="20"/>
                <w:lang w:val="en-GB"/>
              </w:rPr>
              <w:t>. Person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71" w:rsidRPr="00373DA2" w:rsidRDefault="009A042F" w:rsidP="002A5371">
            <w:pPr>
              <w:snapToGrid w:val="0"/>
              <w:rPr>
                <w:sz w:val="20"/>
                <w:szCs w:val="20"/>
                <w:lang w:val="en-GB"/>
              </w:rPr>
            </w:pPr>
            <w:r w:rsidRPr="009A042F">
              <w:rPr>
                <w:sz w:val="20"/>
                <w:szCs w:val="20"/>
                <w:lang w:val="en-GB"/>
              </w:rPr>
              <w:t>Dr Wioletta Adamus-Białek</w:t>
            </w:r>
          </w:p>
        </w:tc>
      </w:tr>
      <w:tr w:rsidR="002A5371" w:rsidRPr="00EE2575" w:rsidTr="00937612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71" w:rsidRPr="00EE2575" w:rsidRDefault="002A5371" w:rsidP="002A537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1.6</w:t>
            </w:r>
            <w:r w:rsidRPr="00EE2575">
              <w:rPr>
                <w:b/>
                <w:sz w:val="20"/>
                <w:szCs w:val="20"/>
                <w:lang w:val="en-GB"/>
              </w:rPr>
              <w:t>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71" w:rsidRPr="00EE2575" w:rsidRDefault="002A5371" w:rsidP="002A5371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2A5371" w:rsidRPr="00EE2575" w:rsidRDefault="002A5371" w:rsidP="002A5371">
      <w:pPr>
        <w:rPr>
          <w:b/>
          <w:sz w:val="20"/>
          <w:szCs w:val="20"/>
          <w:lang w:val="en-GB"/>
        </w:rPr>
      </w:pPr>
    </w:p>
    <w:p w:rsidR="002A5371" w:rsidRPr="00EE2575" w:rsidRDefault="002A5371" w:rsidP="002A5371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General characteristicS of the course of study</w:t>
      </w:r>
    </w:p>
    <w:tbl>
      <w:tblPr>
        <w:tblW w:w="9724" w:type="dxa"/>
        <w:tblInd w:w="-5" w:type="dxa"/>
        <w:tblLayout w:type="fixed"/>
        <w:tblLook w:val="0000"/>
      </w:tblPr>
      <w:tblGrid>
        <w:gridCol w:w="5052"/>
        <w:gridCol w:w="4672"/>
      </w:tblGrid>
      <w:tr w:rsidR="002A5371" w:rsidRPr="00EE2575" w:rsidTr="00937612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71" w:rsidRPr="00EE2575" w:rsidRDefault="002A5371" w:rsidP="00937612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2.</w:t>
            </w:r>
            <w:r>
              <w:rPr>
                <w:b/>
                <w:sz w:val="20"/>
                <w:szCs w:val="20"/>
                <w:lang w:val="en-GB"/>
              </w:rPr>
              <w:t>1</w:t>
            </w:r>
            <w:r w:rsidRPr="00EE2575">
              <w:rPr>
                <w:b/>
                <w:sz w:val="20"/>
                <w:szCs w:val="20"/>
                <w:lang w:val="en-GB"/>
              </w:rPr>
              <w:t>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71" w:rsidRPr="002A5371" w:rsidRDefault="002A5371" w:rsidP="00937612">
            <w:pPr>
              <w:snapToGrid w:val="0"/>
              <w:rPr>
                <w:sz w:val="20"/>
                <w:szCs w:val="20"/>
                <w:lang w:val="en-GB"/>
              </w:rPr>
            </w:pPr>
            <w:r w:rsidRPr="002A5371">
              <w:rPr>
                <w:sz w:val="20"/>
                <w:szCs w:val="20"/>
                <w:lang w:val="en-GB"/>
              </w:rPr>
              <w:t>English</w:t>
            </w:r>
          </w:p>
        </w:tc>
      </w:tr>
      <w:tr w:rsidR="002A5371" w:rsidRPr="00EE2575" w:rsidTr="00937612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71" w:rsidRPr="00EE2575" w:rsidRDefault="002A5371" w:rsidP="002A5371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2.</w:t>
            </w:r>
            <w:r>
              <w:rPr>
                <w:b/>
                <w:sz w:val="20"/>
                <w:szCs w:val="20"/>
                <w:lang w:val="en-GB"/>
              </w:rPr>
              <w:t>2</w:t>
            </w:r>
            <w:r w:rsidRPr="00EE2575">
              <w:rPr>
                <w:b/>
                <w:sz w:val="20"/>
                <w:szCs w:val="20"/>
                <w:lang w:val="en-GB"/>
              </w:rPr>
              <w:t>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71" w:rsidRPr="00827491" w:rsidRDefault="002A5371" w:rsidP="002A5371">
            <w:pPr>
              <w:snapToGrid w:val="0"/>
              <w:rPr>
                <w:sz w:val="20"/>
                <w:szCs w:val="20"/>
                <w:lang w:val="en-GB"/>
              </w:rPr>
            </w:pPr>
            <w:r w:rsidRPr="00C84051">
              <w:rPr>
                <w:sz w:val="20"/>
                <w:szCs w:val="20"/>
                <w:lang w:val="en-GB"/>
              </w:rPr>
              <w:t>Biology</w:t>
            </w:r>
          </w:p>
        </w:tc>
      </w:tr>
    </w:tbl>
    <w:p w:rsidR="002A5371" w:rsidRPr="00EE2575" w:rsidRDefault="002A5371" w:rsidP="002A5371">
      <w:pPr>
        <w:rPr>
          <w:b/>
          <w:sz w:val="20"/>
          <w:szCs w:val="20"/>
          <w:lang w:val="en-GB"/>
        </w:rPr>
      </w:pPr>
    </w:p>
    <w:p w:rsidR="002A5371" w:rsidRPr="00EE2575" w:rsidRDefault="002A5371" w:rsidP="002A5371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/>
      </w:tblPr>
      <w:tblGrid>
        <w:gridCol w:w="1902"/>
        <w:gridCol w:w="1783"/>
        <w:gridCol w:w="6062"/>
      </w:tblGrid>
      <w:tr w:rsidR="002A5371" w:rsidRPr="00EE2575" w:rsidTr="00937612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71" w:rsidRPr="00EE2575" w:rsidRDefault="002A5371" w:rsidP="002A537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71" w:rsidRPr="00827491" w:rsidRDefault="00C2632A" w:rsidP="002A5371">
            <w:pPr>
              <w:tabs>
                <w:tab w:val="left" w:pos="1875"/>
              </w:tabs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LECTURE 15 hours.; CLASSES: 2</w:t>
            </w:r>
            <w:r w:rsidR="002A5371" w:rsidRPr="00E27B58">
              <w:rPr>
                <w:sz w:val="20"/>
                <w:szCs w:val="20"/>
                <w:lang w:val="en-GB"/>
              </w:rPr>
              <w:t>0 hours</w:t>
            </w:r>
          </w:p>
        </w:tc>
      </w:tr>
      <w:tr w:rsidR="002A5371" w:rsidRPr="00F616DB" w:rsidTr="00937612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71" w:rsidRPr="00EE2575" w:rsidRDefault="002A5371" w:rsidP="002A537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P</w:t>
            </w:r>
            <w:r>
              <w:rPr>
                <w:b/>
                <w:sz w:val="20"/>
                <w:szCs w:val="20"/>
                <w:lang w:val="en-GB"/>
              </w:rPr>
              <w:t>l</w:t>
            </w:r>
            <w:r w:rsidRPr="00EE2575">
              <w:rPr>
                <w:b/>
                <w:sz w:val="20"/>
                <w:szCs w:val="20"/>
                <w:lang w:val="en-GB"/>
              </w:rPr>
              <w:t>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71" w:rsidRPr="00827491" w:rsidRDefault="002A5371" w:rsidP="00B15680">
            <w:pPr>
              <w:tabs>
                <w:tab w:val="left" w:pos="1890"/>
              </w:tabs>
              <w:snapToGrid w:val="0"/>
              <w:rPr>
                <w:sz w:val="20"/>
                <w:szCs w:val="20"/>
                <w:lang w:val="en-GB"/>
              </w:rPr>
            </w:pPr>
            <w:r w:rsidRPr="00E27B58">
              <w:rPr>
                <w:sz w:val="20"/>
                <w:szCs w:val="20"/>
                <w:lang w:val="en-GB"/>
              </w:rPr>
              <w:t xml:space="preserve">Courses in </w:t>
            </w:r>
            <w:r w:rsidR="00B15680">
              <w:rPr>
                <w:sz w:val="20"/>
                <w:szCs w:val="20"/>
                <w:lang w:val="en-GB"/>
              </w:rPr>
              <w:t>the teaching rooms of the UJK,</w:t>
            </w:r>
          </w:p>
        </w:tc>
      </w:tr>
      <w:tr w:rsidR="002A5371" w:rsidRPr="00F616DB" w:rsidTr="00937612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71" w:rsidRPr="00EE2575" w:rsidRDefault="002A5371" w:rsidP="002A537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71" w:rsidRPr="00827491" w:rsidRDefault="002A5371" w:rsidP="002A5371">
            <w:pPr>
              <w:tabs>
                <w:tab w:val="left" w:pos="1395"/>
              </w:tabs>
              <w:snapToGrid w:val="0"/>
              <w:rPr>
                <w:sz w:val="20"/>
                <w:szCs w:val="20"/>
                <w:lang w:val="en-GB"/>
              </w:rPr>
            </w:pPr>
            <w:r w:rsidRPr="002A5371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LECTURE – L, Cl. Credit with grade</w:t>
            </w:r>
          </w:p>
        </w:tc>
      </w:tr>
      <w:tr w:rsidR="002A5371" w:rsidRPr="00F616DB" w:rsidTr="00937612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71" w:rsidRPr="00EE2575" w:rsidRDefault="002A5371" w:rsidP="002A537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71" w:rsidRPr="00827491" w:rsidRDefault="00B15680" w:rsidP="00B15680">
            <w:pPr>
              <w:snapToGrid w:val="0"/>
              <w:ind w:left="-249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Classical and </w:t>
            </w:r>
            <w:r w:rsidR="002A5371" w:rsidRPr="00E27B58">
              <w:rPr>
                <w:sz w:val="20"/>
                <w:szCs w:val="20"/>
                <w:lang w:val="en-GB"/>
              </w:rPr>
              <w:t>Conversational lecture, discussion</w:t>
            </w:r>
            <w:r>
              <w:rPr>
                <w:sz w:val="20"/>
                <w:szCs w:val="20"/>
                <w:lang w:val="en-GB"/>
              </w:rPr>
              <w:t>, classes</w:t>
            </w:r>
          </w:p>
        </w:tc>
      </w:tr>
      <w:tr w:rsidR="002A5371" w:rsidRPr="00F616DB" w:rsidTr="00937612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71" w:rsidRPr="00EE2575" w:rsidRDefault="002A5371" w:rsidP="002A5371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71" w:rsidRPr="00EE2575" w:rsidRDefault="002A5371" w:rsidP="002A5371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71" w:rsidRPr="00E27B58" w:rsidRDefault="002A5371" w:rsidP="002A5371">
            <w:pPr>
              <w:tabs>
                <w:tab w:val="left" w:pos="1860"/>
              </w:tabs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</w:t>
            </w:r>
            <w:r w:rsidRPr="00E27B58">
              <w:rPr>
                <w:sz w:val="20"/>
                <w:szCs w:val="20"/>
                <w:lang w:val="en-GB"/>
              </w:rPr>
              <w:t xml:space="preserve">Medical Genetics, </w:t>
            </w:r>
          </w:p>
          <w:p w:rsidR="002A5371" w:rsidRPr="00E27B58" w:rsidRDefault="002A5371" w:rsidP="002A5371">
            <w:pPr>
              <w:tabs>
                <w:tab w:val="left" w:pos="1860"/>
              </w:tabs>
              <w:snapToGrid w:val="0"/>
              <w:rPr>
                <w:sz w:val="20"/>
                <w:szCs w:val="20"/>
                <w:lang w:val="en-GB"/>
              </w:rPr>
            </w:pPr>
            <w:r w:rsidRPr="00E27B58">
              <w:rPr>
                <w:sz w:val="20"/>
                <w:szCs w:val="20"/>
                <w:lang w:val="en-GB"/>
              </w:rPr>
              <w:t xml:space="preserve">by Lynn B. Jorde PhD (Author), John C. Carey MD MPH (Author), Michael J. Bamshad MD (Author) </w:t>
            </w:r>
          </w:p>
          <w:p w:rsidR="002A5371" w:rsidRPr="00827491" w:rsidRDefault="002A5371" w:rsidP="002A5371">
            <w:pPr>
              <w:tabs>
                <w:tab w:val="left" w:pos="1860"/>
              </w:tabs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  <w:r w:rsidRPr="00E27B58">
              <w:rPr>
                <w:sz w:val="20"/>
                <w:szCs w:val="20"/>
                <w:lang w:val="en-GB"/>
              </w:rPr>
              <w:t>Essential Medical Genetics (with FREE Desktop Edition) 6/e, Tobias,Connor,Ferguson-Smith, WILEY, 2011</w:t>
            </w:r>
          </w:p>
        </w:tc>
      </w:tr>
      <w:tr w:rsidR="002A5371" w:rsidRPr="00F616DB" w:rsidTr="00937612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71" w:rsidRPr="00EE2575" w:rsidRDefault="002A5371" w:rsidP="002A5371">
            <w:pPr>
              <w:snapToGrid w:val="0"/>
              <w:ind w:left="426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371" w:rsidRPr="00EE2575" w:rsidRDefault="002A5371" w:rsidP="002A5371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71" w:rsidRPr="00E27B58" w:rsidRDefault="002A5371" w:rsidP="002A5371">
            <w:pPr>
              <w:tabs>
                <w:tab w:val="left" w:pos="900"/>
              </w:tabs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  <w:r w:rsidRPr="00E27B58">
              <w:rPr>
                <w:sz w:val="20"/>
                <w:szCs w:val="20"/>
                <w:lang w:val="en-GB"/>
              </w:rPr>
              <w:t>Color Atlas of Genetics (FLEXIBOOK)</w:t>
            </w:r>
          </w:p>
          <w:p w:rsidR="002A5371" w:rsidRDefault="002A5371" w:rsidP="002A5371">
            <w:pPr>
              <w:tabs>
                <w:tab w:val="left" w:pos="900"/>
              </w:tabs>
              <w:snapToGrid w:val="0"/>
              <w:rPr>
                <w:sz w:val="20"/>
                <w:szCs w:val="20"/>
                <w:lang w:val="en-GB"/>
              </w:rPr>
            </w:pPr>
            <w:r w:rsidRPr="00E27B58">
              <w:rPr>
                <w:sz w:val="20"/>
                <w:szCs w:val="20"/>
                <w:lang w:val="en-GB"/>
              </w:rPr>
              <w:t>by Eberhard Passarge (Author)</w:t>
            </w:r>
          </w:p>
          <w:p w:rsidR="002A5371" w:rsidRPr="00D6118D" w:rsidRDefault="002A5371" w:rsidP="002A5371">
            <w:pPr>
              <w:tabs>
                <w:tab w:val="left" w:pos="900"/>
              </w:tabs>
              <w:snapToGrid w:val="0"/>
              <w:rPr>
                <w:sz w:val="20"/>
                <w:szCs w:val="20"/>
                <w:lang w:val="en-GB"/>
              </w:rPr>
            </w:pPr>
            <w:r w:rsidRPr="00D6118D">
              <w:rPr>
                <w:sz w:val="20"/>
                <w:szCs w:val="20"/>
                <w:lang w:val="en-GB"/>
              </w:rPr>
              <w:t>4.</w:t>
            </w:r>
            <w:r>
              <w:rPr>
                <w:sz w:val="20"/>
                <w:szCs w:val="20"/>
                <w:lang w:val="en-GB"/>
              </w:rPr>
              <w:t>DeVita, Hellman and Rosenberg’s Cancer: Principles &amp; Practice of Oncology, 10</w:t>
            </w:r>
            <w:r w:rsidRPr="00D6118D">
              <w:rPr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sz w:val="20"/>
                <w:szCs w:val="20"/>
                <w:lang w:val="en-GB"/>
              </w:rPr>
              <w:t xml:space="preserve"> Ed.</w:t>
            </w:r>
          </w:p>
        </w:tc>
      </w:tr>
    </w:tbl>
    <w:p w:rsidR="002A5371" w:rsidRPr="00EE2575" w:rsidRDefault="002A5371" w:rsidP="002A5371">
      <w:pPr>
        <w:rPr>
          <w:b/>
          <w:sz w:val="20"/>
          <w:szCs w:val="20"/>
          <w:lang w:val="en-GB"/>
        </w:rPr>
      </w:pPr>
    </w:p>
    <w:p w:rsidR="002A5371" w:rsidRPr="00EE2575" w:rsidRDefault="002A5371" w:rsidP="002A5371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Objectives, syllab</w:t>
      </w:r>
      <w:r>
        <w:rPr>
          <w:b/>
          <w:caps/>
          <w:sz w:val="20"/>
          <w:szCs w:val="20"/>
          <w:lang w:val="en-GB"/>
        </w:rPr>
        <w:t>us CONTENT and intended LEARNING</w:t>
      </w:r>
      <w:r w:rsidRPr="00EE2575">
        <w:rPr>
          <w:b/>
          <w:caps/>
          <w:sz w:val="20"/>
          <w:szCs w:val="20"/>
          <w:lang w:val="en-GB"/>
        </w:rPr>
        <w:t xml:space="preserve"> outcomes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75"/>
      </w:tblGrid>
      <w:tr w:rsidR="002A5371" w:rsidRPr="00F616DB" w:rsidTr="00937612">
        <w:trPr>
          <w:trHeight w:val="1035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371" w:rsidRPr="00EE2575" w:rsidRDefault="002A5371" w:rsidP="00937612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Course objectives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(including form of classes)</w:t>
            </w:r>
          </w:p>
          <w:p w:rsidR="00945677" w:rsidRDefault="00945677" w:rsidP="002A5371">
            <w:pPr>
              <w:ind w:left="3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Lectures:</w:t>
            </w:r>
          </w:p>
          <w:p w:rsidR="00945677" w:rsidRPr="00945677" w:rsidRDefault="00945677" w:rsidP="00945677">
            <w:pPr>
              <w:ind w:left="3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O1. Introduction to the</w:t>
            </w:r>
            <w:r w:rsidRPr="00945677">
              <w:rPr>
                <w:sz w:val="20"/>
                <w:szCs w:val="20"/>
                <w:lang w:val="en-GB"/>
              </w:rPr>
              <w:t xml:space="preserve"> basic knowledge in the field of genetics and its role in human life and health.</w:t>
            </w:r>
          </w:p>
          <w:p w:rsidR="00945677" w:rsidRPr="00945677" w:rsidRDefault="00945677" w:rsidP="00945677">
            <w:pPr>
              <w:ind w:left="3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O2. </w:t>
            </w:r>
            <w:r w:rsidRPr="00945677">
              <w:rPr>
                <w:sz w:val="20"/>
                <w:szCs w:val="20"/>
                <w:lang w:val="en-GB"/>
              </w:rPr>
              <w:t>Acquiring the ability to use the nomenclature of medical genetics.</w:t>
            </w:r>
          </w:p>
          <w:p w:rsidR="00945677" w:rsidRPr="00945677" w:rsidRDefault="00945677" w:rsidP="00945677">
            <w:pPr>
              <w:ind w:left="3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O3. </w:t>
            </w:r>
            <w:r w:rsidRPr="00945677">
              <w:rPr>
                <w:sz w:val="20"/>
                <w:szCs w:val="20"/>
                <w:lang w:val="en-GB"/>
              </w:rPr>
              <w:t>Acquiring</w:t>
            </w:r>
            <w:r>
              <w:rPr>
                <w:sz w:val="20"/>
                <w:szCs w:val="20"/>
                <w:lang w:val="en-GB"/>
              </w:rPr>
              <w:t xml:space="preserve"> the</w:t>
            </w:r>
            <w:r w:rsidRPr="00945677">
              <w:rPr>
                <w:sz w:val="20"/>
                <w:szCs w:val="20"/>
                <w:lang w:val="en-GB"/>
              </w:rPr>
              <w:t xml:space="preserve"> knowledge in the field of genetic counseling, gathering genetic history.</w:t>
            </w:r>
          </w:p>
          <w:p w:rsidR="00945677" w:rsidRPr="00945677" w:rsidRDefault="00945677" w:rsidP="00945677">
            <w:pPr>
              <w:ind w:left="3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O4. </w:t>
            </w:r>
            <w:r w:rsidRPr="00945677">
              <w:rPr>
                <w:sz w:val="20"/>
                <w:szCs w:val="20"/>
                <w:lang w:val="en-GB"/>
              </w:rPr>
              <w:t>Shaping the correct physician's attitude in transmitting genetic information to the patient and his family.</w:t>
            </w:r>
          </w:p>
          <w:p w:rsidR="002A5371" w:rsidRDefault="00945677" w:rsidP="00945677">
            <w:pPr>
              <w:ind w:left="3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O5. </w:t>
            </w:r>
            <w:r w:rsidRPr="00945677">
              <w:rPr>
                <w:sz w:val="20"/>
                <w:szCs w:val="20"/>
                <w:lang w:val="en-GB"/>
              </w:rPr>
              <w:t>Acquainting with genetic determinants of selected diseases with their basic clinical characteristics.</w:t>
            </w:r>
          </w:p>
          <w:p w:rsidR="00945677" w:rsidRDefault="00945677" w:rsidP="00945677">
            <w:pPr>
              <w:ind w:left="356"/>
              <w:rPr>
                <w:sz w:val="20"/>
                <w:szCs w:val="20"/>
                <w:lang w:val="en-GB"/>
              </w:rPr>
            </w:pPr>
          </w:p>
          <w:p w:rsidR="00945677" w:rsidRDefault="00945677" w:rsidP="00945677">
            <w:pPr>
              <w:ind w:left="3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Classes:</w:t>
            </w:r>
          </w:p>
          <w:p w:rsidR="009A2794" w:rsidRPr="009A2794" w:rsidRDefault="009A2794" w:rsidP="009A2794">
            <w:pPr>
              <w:ind w:left="3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O1. </w:t>
            </w:r>
            <w:r w:rsidRPr="009A2794">
              <w:rPr>
                <w:sz w:val="20"/>
                <w:szCs w:val="20"/>
                <w:lang w:val="en-GB"/>
              </w:rPr>
              <w:t>Acquiring the ability to determine the types of inheritance, classification of birth defects and pedigree construction.</w:t>
            </w:r>
          </w:p>
          <w:p w:rsidR="009A2794" w:rsidRPr="009A2794" w:rsidRDefault="009A2794" w:rsidP="009A2794">
            <w:pPr>
              <w:ind w:left="3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O2.</w:t>
            </w:r>
            <w:r w:rsidRPr="009A2794">
              <w:rPr>
                <w:sz w:val="20"/>
                <w:szCs w:val="20"/>
                <w:lang w:val="en-GB"/>
              </w:rPr>
              <w:t>Acquiring skills in the use of diagnostic tests and their correct interpretation.</w:t>
            </w:r>
          </w:p>
          <w:p w:rsidR="009A2794" w:rsidRPr="009A2794" w:rsidRDefault="009A2794" w:rsidP="009A2794">
            <w:pPr>
              <w:ind w:left="3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O3. </w:t>
            </w:r>
            <w:r w:rsidRPr="009A2794">
              <w:rPr>
                <w:sz w:val="20"/>
                <w:szCs w:val="20"/>
                <w:lang w:val="en-GB"/>
              </w:rPr>
              <w:t>The ability to use basic knowledge in the analysis of inheritance and diagnosis of genetic diseases.</w:t>
            </w:r>
          </w:p>
          <w:p w:rsidR="009A2794" w:rsidRDefault="009A2794" w:rsidP="009A2794">
            <w:pPr>
              <w:ind w:left="3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O4. </w:t>
            </w:r>
            <w:r w:rsidRPr="009A2794">
              <w:rPr>
                <w:sz w:val="20"/>
                <w:szCs w:val="20"/>
                <w:lang w:val="en-GB"/>
              </w:rPr>
              <w:t>Understanding the mechanisms regulating DNA metabolism, its dysfunction and role in the development of genetic diseases</w:t>
            </w:r>
          </w:p>
          <w:p w:rsidR="00945677" w:rsidRPr="00EE2575" w:rsidRDefault="00945677" w:rsidP="00945677">
            <w:pPr>
              <w:ind w:left="356"/>
              <w:rPr>
                <w:sz w:val="20"/>
                <w:szCs w:val="20"/>
                <w:lang w:val="en-GB"/>
              </w:rPr>
            </w:pPr>
          </w:p>
        </w:tc>
      </w:tr>
      <w:tr w:rsidR="002A5371" w:rsidRPr="00EE2575" w:rsidTr="00937612">
        <w:trPr>
          <w:trHeight w:val="979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5371" w:rsidRPr="00EE2575" w:rsidRDefault="002A5371" w:rsidP="00937612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Detailed syllabus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(including form of classes)</w:t>
            </w:r>
          </w:p>
          <w:p w:rsidR="009A2794" w:rsidRDefault="009A2794" w:rsidP="002A5371">
            <w:pPr>
              <w:ind w:left="360"/>
              <w:rPr>
                <w:sz w:val="20"/>
                <w:szCs w:val="20"/>
                <w:lang w:val="en-GB"/>
              </w:rPr>
            </w:pPr>
          </w:p>
          <w:p w:rsidR="002A5371" w:rsidRPr="009A2794" w:rsidRDefault="002A5371" w:rsidP="002A5371">
            <w:pPr>
              <w:ind w:left="360"/>
              <w:rPr>
                <w:sz w:val="20"/>
                <w:szCs w:val="20"/>
                <w:u w:val="single"/>
                <w:lang w:val="en-GB"/>
              </w:rPr>
            </w:pPr>
            <w:r w:rsidRPr="009A2794">
              <w:rPr>
                <w:sz w:val="20"/>
                <w:szCs w:val="20"/>
                <w:u w:val="single"/>
                <w:lang w:val="en-GB"/>
              </w:rPr>
              <w:t>Lectures</w:t>
            </w:r>
            <w:r w:rsidR="009A2794" w:rsidRPr="009A2794">
              <w:rPr>
                <w:sz w:val="20"/>
                <w:szCs w:val="20"/>
                <w:u w:val="single"/>
                <w:lang w:val="en-GB"/>
              </w:rPr>
              <w:t>:</w:t>
            </w:r>
          </w:p>
          <w:p w:rsidR="002A5371" w:rsidRDefault="009A2794" w:rsidP="002A5371">
            <w:pPr>
              <w:ind w:left="360"/>
              <w:rPr>
                <w:sz w:val="20"/>
                <w:szCs w:val="20"/>
                <w:lang w:val="en-GB"/>
              </w:rPr>
            </w:pPr>
            <w:r w:rsidRPr="009A2794">
              <w:rPr>
                <w:sz w:val="20"/>
                <w:szCs w:val="20"/>
                <w:lang w:val="en-GB"/>
              </w:rPr>
              <w:t xml:space="preserve">The cognitive values of the human genome in medical practice. Basic concepts in the field of genetics. Metabolism of DNA (replication, repair, recombination of DNA, transcription, </w:t>
            </w:r>
            <w:r w:rsidR="00FA65B2">
              <w:rPr>
                <w:sz w:val="20"/>
                <w:szCs w:val="20"/>
                <w:lang w:val="en-GB"/>
              </w:rPr>
              <w:t xml:space="preserve">translation, </w:t>
            </w:r>
            <w:r w:rsidRPr="009A2794">
              <w:rPr>
                <w:sz w:val="20"/>
                <w:szCs w:val="20"/>
                <w:lang w:val="en-GB"/>
              </w:rPr>
              <w:t xml:space="preserve">regulation of gene expression). The importance </w:t>
            </w:r>
            <w:r w:rsidR="00FA65B2">
              <w:rPr>
                <w:sz w:val="20"/>
                <w:szCs w:val="20"/>
                <w:lang w:val="en-GB"/>
              </w:rPr>
              <w:t>of GMO in medicine. Principles and</w:t>
            </w:r>
            <w:r w:rsidRPr="009A2794">
              <w:rPr>
                <w:sz w:val="20"/>
                <w:szCs w:val="20"/>
                <w:lang w:val="en-GB"/>
              </w:rPr>
              <w:t xml:space="preserve"> methods of genetic counseling. Bioethics in genetics. Monogenic disorders. </w:t>
            </w:r>
            <w:r w:rsidR="00FA65B2">
              <w:rPr>
                <w:sz w:val="20"/>
                <w:szCs w:val="20"/>
                <w:lang w:val="en-GB"/>
              </w:rPr>
              <w:t>Syndrome</w:t>
            </w:r>
            <w:r w:rsidRPr="009A2794">
              <w:rPr>
                <w:sz w:val="20"/>
                <w:szCs w:val="20"/>
                <w:lang w:val="en-GB"/>
              </w:rPr>
              <w:t xml:space="preserve"> with chromosomal instability. Mitochondrial disorders. Epigenetic, multifactorial diseases. Principles of inheriting predisposit</w:t>
            </w:r>
            <w:r w:rsidR="00FA65B2">
              <w:rPr>
                <w:sz w:val="20"/>
                <w:szCs w:val="20"/>
                <w:lang w:val="en-GB"/>
              </w:rPr>
              <w:t>ion to tumors. Molecular analysi</w:t>
            </w:r>
            <w:r w:rsidRPr="009A2794">
              <w:rPr>
                <w:sz w:val="20"/>
                <w:szCs w:val="20"/>
                <w:lang w:val="en-GB"/>
              </w:rPr>
              <w:t>s of DNA and RNA in detecting inherited predisposition to tumors, genetic mechanisms of drug resistance acquisition by tumor cells. Basic directions of gene therapy development in specific inherited diseases</w:t>
            </w:r>
          </w:p>
          <w:p w:rsidR="00FA65B2" w:rsidRDefault="00FA65B2" w:rsidP="002A5371">
            <w:pPr>
              <w:ind w:left="360"/>
              <w:rPr>
                <w:sz w:val="20"/>
                <w:szCs w:val="20"/>
                <w:u w:val="single"/>
                <w:lang w:val="en-GB"/>
              </w:rPr>
            </w:pPr>
          </w:p>
          <w:p w:rsidR="002A5371" w:rsidRPr="00FA65B2" w:rsidRDefault="002A5371" w:rsidP="002A5371">
            <w:pPr>
              <w:ind w:left="360"/>
              <w:rPr>
                <w:sz w:val="20"/>
                <w:szCs w:val="20"/>
                <w:u w:val="single"/>
                <w:lang w:val="en-GB"/>
              </w:rPr>
            </w:pPr>
            <w:r w:rsidRPr="00FA65B2">
              <w:rPr>
                <w:sz w:val="20"/>
                <w:szCs w:val="20"/>
                <w:u w:val="single"/>
                <w:lang w:val="en-GB"/>
              </w:rPr>
              <w:t>Classes</w:t>
            </w:r>
            <w:r w:rsidR="00FA65B2">
              <w:rPr>
                <w:sz w:val="20"/>
                <w:szCs w:val="20"/>
                <w:u w:val="single"/>
                <w:lang w:val="en-GB"/>
              </w:rPr>
              <w:t>:</w:t>
            </w:r>
          </w:p>
          <w:p w:rsidR="002A5371" w:rsidRDefault="00FA65B2" w:rsidP="002A5371">
            <w:pPr>
              <w:ind w:left="360"/>
              <w:rPr>
                <w:sz w:val="20"/>
                <w:szCs w:val="20"/>
                <w:lang w:val="en-GB"/>
              </w:rPr>
            </w:pPr>
            <w:r w:rsidRPr="00FA65B2">
              <w:rPr>
                <w:sz w:val="20"/>
                <w:szCs w:val="20"/>
                <w:lang w:val="en-GB"/>
              </w:rPr>
              <w:t xml:space="preserve">Rules and drawing pedigrees. Types of inheritance - determination based on </w:t>
            </w:r>
            <w:r w:rsidR="00FD583F">
              <w:rPr>
                <w:sz w:val="20"/>
                <w:szCs w:val="20"/>
                <w:lang w:val="en-GB"/>
              </w:rPr>
              <w:t>inheritance. Basics of dysmorphology. Cytogenetics and a</w:t>
            </w:r>
            <w:r w:rsidRPr="00FA65B2">
              <w:rPr>
                <w:sz w:val="20"/>
                <w:szCs w:val="20"/>
                <w:lang w:val="en-GB"/>
              </w:rPr>
              <w:t>nalysis of karyotypes. Determination of sex and inheritance of blood groups in humans. Molecular basis of mutagenesis, DNA sequence ana</w:t>
            </w:r>
            <w:r w:rsidR="00FD583F">
              <w:rPr>
                <w:sz w:val="20"/>
                <w:szCs w:val="20"/>
                <w:lang w:val="en-GB"/>
              </w:rPr>
              <w:t>lysis, searching for mutations/</w:t>
            </w:r>
            <w:r w:rsidRPr="00FA65B2">
              <w:rPr>
                <w:sz w:val="20"/>
                <w:szCs w:val="20"/>
                <w:lang w:val="en-GB"/>
              </w:rPr>
              <w:t>polymorphisms and evaluation of their pathogenicity. Analysis of genetic crosses and pedigrees of human traits and diseases, risk of a child's birth with chromosomal aberrations, estimation of the risk of a given disease appearing in the offspring based on family predisposition and the environmental factors</w:t>
            </w:r>
            <w:r w:rsidR="00FD583F">
              <w:rPr>
                <w:sz w:val="20"/>
                <w:szCs w:val="20"/>
                <w:lang w:val="en-GB"/>
              </w:rPr>
              <w:t xml:space="preserve"> influence.</w:t>
            </w:r>
            <w:r w:rsidRPr="00FA65B2">
              <w:rPr>
                <w:sz w:val="20"/>
                <w:szCs w:val="20"/>
                <w:lang w:val="en-GB"/>
              </w:rPr>
              <w:t xml:space="preserve"> Probability calculations in pedigrees. The phenomenon of gene </w:t>
            </w:r>
            <w:r w:rsidR="00FD583F">
              <w:rPr>
                <w:sz w:val="20"/>
                <w:szCs w:val="20"/>
                <w:lang w:val="en-GB"/>
              </w:rPr>
              <w:t>linkage</w:t>
            </w:r>
            <w:r w:rsidRPr="00FA65B2">
              <w:rPr>
                <w:sz w:val="20"/>
                <w:szCs w:val="20"/>
                <w:lang w:val="en-GB"/>
              </w:rPr>
              <w:t xml:space="preserve"> and </w:t>
            </w:r>
            <w:r w:rsidR="00FD583F">
              <w:rPr>
                <w:sz w:val="20"/>
                <w:szCs w:val="20"/>
                <w:lang w:val="en-GB"/>
              </w:rPr>
              <w:t xml:space="preserve">gene </w:t>
            </w:r>
            <w:r w:rsidRPr="00FA65B2">
              <w:rPr>
                <w:sz w:val="20"/>
                <w:szCs w:val="20"/>
                <w:lang w:val="en-GB"/>
              </w:rPr>
              <w:t>interaction. Multigene diseases: association analysis, relative risk, odds ratio. Principles of inheritance of various number of traits, inheritance of quantitative traits, independent inheritance of features and inheritance of non-nuclear genetic</w:t>
            </w:r>
            <w:r w:rsidR="00FD583F">
              <w:rPr>
                <w:sz w:val="20"/>
                <w:szCs w:val="20"/>
                <w:lang w:val="en-GB"/>
              </w:rPr>
              <w:t xml:space="preserve"> information. Genetic balance in</w:t>
            </w:r>
            <w:r w:rsidRPr="00FA65B2">
              <w:rPr>
                <w:sz w:val="20"/>
                <w:szCs w:val="20"/>
                <w:lang w:val="en-GB"/>
              </w:rPr>
              <w:t xml:space="preserve"> the population.</w:t>
            </w:r>
          </w:p>
          <w:p w:rsidR="00FA65B2" w:rsidRPr="00EE2575" w:rsidRDefault="00FA65B2" w:rsidP="002A5371">
            <w:pPr>
              <w:ind w:left="360"/>
              <w:rPr>
                <w:sz w:val="20"/>
                <w:szCs w:val="20"/>
                <w:lang w:val="en-GB"/>
              </w:rPr>
            </w:pPr>
          </w:p>
        </w:tc>
      </w:tr>
    </w:tbl>
    <w:p w:rsidR="002A5371" w:rsidRDefault="002A5371" w:rsidP="002A5371">
      <w:pPr>
        <w:rPr>
          <w:rFonts w:eastAsia="Arial Unicode MS"/>
          <w:b/>
          <w:sz w:val="20"/>
          <w:szCs w:val="20"/>
          <w:lang w:val="en-GB" w:eastAsia="pl-PL"/>
        </w:rPr>
      </w:pPr>
    </w:p>
    <w:p w:rsidR="002A5371" w:rsidRPr="00EE2575" w:rsidRDefault="002A5371" w:rsidP="002A5371">
      <w:pPr>
        <w:rPr>
          <w:lang w:val="en-GB"/>
        </w:rPr>
      </w:pPr>
      <w:r>
        <w:rPr>
          <w:rFonts w:eastAsia="Arial Unicode MS"/>
          <w:b/>
          <w:sz w:val="20"/>
          <w:szCs w:val="20"/>
          <w:lang w:val="en-GB" w:eastAsia="pl-PL"/>
        </w:rPr>
        <w:t>4.3 Intended learning</w:t>
      </w:r>
      <w:r w:rsidRPr="00EE2575">
        <w:rPr>
          <w:rFonts w:eastAsia="Arial Unicode MS"/>
          <w:b/>
          <w:sz w:val="20"/>
          <w:szCs w:val="20"/>
          <w:lang w:val="en-GB" w:eastAsia="pl-PL"/>
        </w:rPr>
        <w:t xml:space="preserve"> outcomes</w:t>
      </w: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145"/>
        <w:gridCol w:w="1842"/>
      </w:tblGrid>
      <w:tr w:rsidR="002A5371" w:rsidRPr="00EE2575" w:rsidTr="002A5371">
        <w:trPr>
          <w:cantSplit/>
          <w:trHeight w:val="7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5371" w:rsidRPr="0073495B" w:rsidRDefault="002A5371" w:rsidP="002A5371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71" w:rsidRPr="0073495B" w:rsidRDefault="002A5371" w:rsidP="002A537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73495B" w:rsidRDefault="002A5371" w:rsidP="002A537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Relation to </w:t>
            </w: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learning 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2A5371" w:rsidRPr="00F616DB" w:rsidTr="002A537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71" w:rsidRPr="0073495B" w:rsidRDefault="002A5371" w:rsidP="002A5371">
            <w:pPr>
              <w:jc w:val="center"/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  <w:r w:rsidRPr="00EE2575">
              <w:rPr>
                <w:sz w:val="20"/>
                <w:szCs w:val="20"/>
                <w:lang w:val="en-GB"/>
              </w:rPr>
              <w:t xml:space="preserve">within the scope of  </w:t>
            </w:r>
            <w:r w:rsidRPr="00EE2575">
              <w:rPr>
                <w:b/>
                <w:caps/>
                <w:sz w:val="20"/>
                <w:szCs w:val="20"/>
                <w:lang w:val="en-GB"/>
              </w:rPr>
              <w:t>knowledge</w:t>
            </w:r>
            <w:r w:rsidR="001F6724" w:rsidRPr="001F6724">
              <w:rPr>
                <w:sz w:val="20"/>
                <w:szCs w:val="20"/>
                <w:lang w:val="en-GB"/>
              </w:rPr>
              <w:t>the graduate knows and understands</w:t>
            </w:r>
            <w:r w:rsidRPr="00EE2575">
              <w:rPr>
                <w:b/>
                <w:sz w:val="20"/>
                <w:szCs w:val="20"/>
                <w:lang w:val="en-GB"/>
              </w:rPr>
              <w:t>:</w:t>
            </w:r>
          </w:p>
        </w:tc>
      </w:tr>
      <w:tr w:rsidR="002A5371" w:rsidRPr="00EE2575" w:rsidTr="002A537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W1.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2A5371" w:rsidRDefault="002A5371" w:rsidP="001F6724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2A5371">
              <w:rPr>
                <w:rStyle w:val="gt-text"/>
                <w:sz w:val="20"/>
                <w:szCs w:val="20"/>
                <w:lang w:val="en-US"/>
              </w:rPr>
              <w:t>the functions of the human genome, transcriptome and proteome and basic methods used in their study; describes the processes of replication, repair and recombination of DNA, transcription and translation</w:t>
            </w:r>
            <w:r w:rsidR="00FD583F">
              <w:rPr>
                <w:rStyle w:val="gt-text"/>
                <w:sz w:val="20"/>
                <w:szCs w:val="20"/>
                <w:lang w:val="en-US"/>
              </w:rPr>
              <w:t xml:space="preserve"> and degradation of DNA, RNA</w:t>
            </w:r>
            <w:r w:rsidRPr="002A5371">
              <w:rPr>
                <w:rStyle w:val="gt-text"/>
                <w:sz w:val="20"/>
                <w:szCs w:val="20"/>
                <w:lang w:val="en-US"/>
              </w:rPr>
              <w:t>;  the concept of the regulation of gene expression;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B.W14.</w:t>
            </w:r>
          </w:p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A5371" w:rsidRPr="00EE2575" w:rsidTr="002A537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W2.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2A5371" w:rsidRDefault="002A5371" w:rsidP="002A5371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2A5371">
              <w:rPr>
                <w:rStyle w:val="gt-text"/>
                <w:sz w:val="20"/>
                <w:szCs w:val="20"/>
                <w:lang w:val="en-US"/>
              </w:rPr>
              <w:t>the basic concepts of genetics;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5E6967" w:rsidRDefault="002A5371" w:rsidP="002A5371">
            <w:pPr>
              <w:jc w:val="center"/>
              <w:rPr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C.W1.</w:t>
            </w:r>
          </w:p>
        </w:tc>
      </w:tr>
      <w:tr w:rsidR="002A5371" w:rsidRPr="00EE2575" w:rsidTr="002A537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W3.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2A5371" w:rsidRDefault="002A5371" w:rsidP="00FD583F">
            <w:pPr>
              <w:jc w:val="both"/>
              <w:rPr>
                <w:sz w:val="20"/>
                <w:szCs w:val="20"/>
                <w:lang w:val="en-US"/>
              </w:rPr>
            </w:pPr>
            <w:r w:rsidRPr="002A5371">
              <w:rPr>
                <w:rStyle w:val="gt-text"/>
                <w:sz w:val="20"/>
                <w:szCs w:val="20"/>
                <w:lang w:val="en-US"/>
              </w:rPr>
              <w:t xml:space="preserve"> the phenomenon of </w:t>
            </w:r>
            <w:r w:rsidR="00FD583F">
              <w:rPr>
                <w:rStyle w:val="gt-text"/>
                <w:sz w:val="20"/>
                <w:szCs w:val="20"/>
                <w:lang w:val="en-US"/>
              </w:rPr>
              <w:t>linkage</w:t>
            </w:r>
            <w:r w:rsidRPr="002A5371">
              <w:rPr>
                <w:rStyle w:val="gt-text"/>
                <w:sz w:val="20"/>
                <w:szCs w:val="20"/>
                <w:lang w:val="en-US"/>
              </w:rPr>
              <w:t xml:space="preserve"> and interaction of genes;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C.W2.</w:t>
            </w:r>
          </w:p>
        </w:tc>
      </w:tr>
      <w:tr w:rsidR="002A5371" w:rsidRPr="00EE2575" w:rsidTr="002A537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W4.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2A5371" w:rsidRDefault="002A5371" w:rsidP="002A5371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2A5371">
              <w:rPr>
                <w:rStyle w:val="gt-text"/>
                <w:sz w:val="20"/>
                <w:szCs w:val="20"/>
                <w:lang w:val="en-US"/>
              </w:rPr>
              <w:t>normal human karyotype and various types of sex determination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C.W3.</w:t>
            </w:r>
          </w:p>
        </w:tc>
      </w:tr>
      <w:tr w:rsidR="002A5371" w:rsidRPr="00EE2575" w:rsidTr="002A537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W5.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2A5371" w:rsidRDefault="002A5371" w:rsidP="001F6724">
            <w:pPr>
              <w:jc w:val="both"/>
              <w:rPr>
                <w:sz w:val="20"/>
                <w:szCs w:val="20"/>
                <w:lang w:val="en-US"/>
              </w:rPr>
            </w:pPr>
            <w:r w:rsidRPr="002A5371">
              <w:rPr>
                <w:rStyle w:val="gt-text"/>
                <w:sz w:val="20"/>
                <w:szCs w:val="20"/>
                <w:lang w:val="en-US"/>
              </w:rPr>
              <w:t xml:space="preserve"> the structure of chromosomes and the molecular mechanisms of mutagenesis;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C.W4.</w:t>
            </w:r>
          </w:p>
        </w:tc>
      </w:tr>
      <w:tr w:rsidR="002A5371" w:rsidRPr="00EE2575" w:rsidTr="002A537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W6.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2A5371" w:rsidRDefault="002A5371" w:rsidP="002A5371">
            <w:pPr>
              <w:jc w:val="both"/>
              <w:rPr>
                <w:sz w:val="20"/>
                <w:szCs w:val="20"/>
                <w:lang w:val="en-US"/>
              </w:rPr>
            </w:pPr>
            <w:r w:rsidRPr="002A5371">
              <w:rPr>
                <w:rStyle w:val="gt-text"/>
                <w:sz w:val="20"/>
                <w:szCs w:val="20"/>
                <w:lang w:val="en-US"/>
              </w:rPr>
              <w:t xml:space="preserve">the principles of inheritance, inheritance of quantitative traits, independent inheritance of traits and inheritance of extranuclear genetic information;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C.W5.</w:t>
            </w:r>
          </w:p>
        </w:tc>
      </w:tr>
      <w:tr w:rsidR="002A5371" w:rsidRPr="00EE2575" w:rsidTr="002A537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W7.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2A5371" w:rsidRDefault="002A5371" w:rsidP="002A5371">
            <w:pPr>
              <w:jc w:val="both"/>
              <w:rPr>
                <w:sz w:val="20"/>
                <w:szCs w:val="20"/>
                <w:lang w:val="en-US"/>
              </w:rPr>
            </w:pPr>
            <w:r w:rsidRPr="002A5371">
              <w:rPr>
                <w:rStyle w:val="gt-text"/>
                <w:sz w:val="20"/>
                <w:szCs w:val="20"/>
                <w:lang w:val="en-US"/>
              </w:rPr>
              <w:t xml:space="preserve">the genetics of blood groups and serological conflict in Rh system;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C.W6.</w:t>
            </w:r>
          </w:p>
        </w:tc>
      </w:tr>
      <w:tr w:rsidR="002A5371" w:rsidRPr="00EE2575" w:rsidTr="002A537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W8.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2A5371" w:rsidRDefault="002A5371" w:rsidP="002A5371">
            <w:pPr>
              <w:jc w:val="both"/>
              <w:rPr>
                <w:sz w:val="20"/>
                <w:szCs w:val="20"/>
                <w:lang w:val="en-US"/>
              </w:rPr>
            </w:pPr>
            <w:r w:rsidRPr="002A5371">
              <w:rPr>
                <w:rStyle w:val="gt-text"/>
                <w:sz w:val="20"/>
                <w:szCs w:val="20"/>
                <w:lang w:val="en-US"/>
              </w:rPr>
              <w:t>the aberrations of autosomes and heterosomes causing diseases, including cancer oncogenesis;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C.W7.</w:t>
            </w:r>
          </w:p>
        </w:tc>
      </w:tr>
      <w:tr w:rsidR="002A5371" w:rsidRPr="00EE2575" w:rsidTr="002A537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W9.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2A5371" w:rsidRDefault="002A5371" w:rsidP="001F6724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2A5371">
              <w:rPr>
                <w:rStyle w:val="gt-text"/>
                <w:sz w:val="20"/>
                <w:szCs w:val="20"/>
                <w:lang w:val="en-US"/>
              </w:rPr>
              <w:t>the factors affecting primary and secondary genetic balance of the population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C.W8.</w:t>
            </w:r>
          </w:p>
        </w:tc>
      </w:tr>
      <w:tr w:rsidR="002A5371" w:rsidRPr="00EE2575" w:rsidTr="002A537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W10.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2A5371" w:rsidRDefault="002A5371" w:rsidP="002A5371">
            <w:pPr>
              <w:jc w:val="both"/>
              <w:rPr>
                <w:rStyle w:val="gt-text"/>
                <w:sz w:val="20"/>
                <w:szCs w:val="20"/>
                <w:lang w:val="en-US"/>
              </w:rPr>
            </w:pPr>
            <w:r w:rsidRPr="002A5371">
              <w:rPr>
                <w:rStyle w:val="gt-text"/>
                <w:sz w:val="20"/>
                <w:szCs w:val="20"/>
                <w:lang w:val="en-US"/>
              </w:rPr>
              <w:t xml:space="preserve">the foundation for the diagnosis of gene and chromosome mutations responsible for hereditary and acquired diseases, including cancer; </w:t>
            </w:r>
          </w:p>
          <w:p w:rsidR="002A5371" w:rsidRPr="002A5371" w:rsidRDefault="002A5371" w:rsidP="002A5371">
            <w:pPr>
              <w:rPr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C.W9.</w:t>
            </w:r>
          </w:p>
        </w:tc>
      </w:tr>
      <w:tr w:rsidR="002A5371" w:rsidRPr="00EE2575" w:rsidTr="002A537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W11.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2A5371" w:rsidRDefault="002A5371" w:rsidP="002A5371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2A5371">
              <w:rPr>
                <w:rStyle w:val="gt-text"/>
                <w:sz w:val="20"/>
                <w:szCs w:val="20"/>
                <w:lang w:val="en-US"/>
              </w:rPr>
              <w:t>benefits and risks arising from the presence in the ecosystem of genetically modified organisms (GMOs);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C.W10.</w:t>
            </w:r>
          </w:p>
        </w:tc>
      </w:tr>
      <w:tr w:rsidR="002A5371" w:rsidRPr="00EE2575" w:rsidTr="002A537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W12.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2A5371" w:rsidRDefault="002A5371" w:rsidP="00FD583F">
            <w:pPr>
              <w:rPr>
                <w:color w:val="000000"/>
                <w:sz w:val="20"/>
                <w:szCs w:val="20"/>
                <w:lang w:val="en-US" w:eastAsia="pl-PL"/>
              </w:rPr>
            </w:pPr>
            <w:r w:rsidRPr="002A5371">
              <w:rPr>
                <w:rStyle w:val="gt-text"/>
                <w:sz w:val="20"/>
                <w:szCs w:val="20"/>
                <w:lang w:val="en-US"/>
              </w:rPr>
              <w:t>genetic mechanisms, the acquisition of drug resistance by tumor cells;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C.W11.</w:t>
            </w:r>
          </w:p>
        </w:tc>
      </w:tr>
      <w:tr w:rsidR="004E3F50" w:rsidRPr="00EE2575" w:rsidTr="002A5371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0" w:rsidRPr="005E6967" w:rsidRDefault="004E3F50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W13.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0" w:rsidRPr="002A5371" w:rsidRDefault="00350B73" w:rsidP="00FD583F">
            <w:pPr>
              <w:rPr>
                <w:rStyle w:val="gt-text"/>
                <w:sz w:val="20"/>
                <w:szCs w:val="20"/>
                <w:lang w:val="en-US"/>
              </w:rPr>
            </w:pPr>
            <w:r w:rsidRPr="00350B73">
              <w:rPr>
                <w:rStyle w:val="gt-text"/>
                <w:sz w:val="20"/>
                <w:szCs w:val="20"/>
                <w:lang w:val="en-US"/>
              </w:rPr>
              <w:t>genetic mechanisms of drug resistance acquisition by cancer cells</w:t>
            </w:r>
            <w:r w:rsidR="004E3F50" w:rsidRPr="004E3F50">
              <w:rPr>
                <w:rStyle w:val="gt-text"/>
                <w:sz w:val="20"/>
                <w:szCs w:val="20"/>
                <w:lang w:val="en-US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50" w:rsidRPr="005E6967" w:rsidRDefault="00350B73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C.W45</w:t>
            </w:r>
            <w:r w:rsidR="004E3F50">
              <w:rPr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2A5371" w:rsidRPr="00F616DB" w:rsidTr="002A537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71" w:rsidRPr="0073495B" w:rsidRDefault="002A5371" w:rsidP="002A5371">
            <w:pPr>
              <w:jc w:val="center"/>
              <w:rPr>
                <w:rFonts w:eastAsia="Arial Unicode MS"/>
                <w:strike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sz w:val="20"/>
                <w:szCs w:val="20"/>
                <w:lang w:val="en-GB" w:eastAsia="pl-PL"/>
              </w:rPr>
              <w:t xml:space="preserve">within the scope of  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ABILITIES</w:t>
            </w:r>
            <w:r w:rsidR="001F6724" w:rsidRPr="001F6724">
              <w:rPr>
                <w:rFonts w:eastAsia="Arial Unicode MS"/>
                <w:sz w:val="20"/>
                <w:szCs w:val="20"/>
                <w:lang w:val="en-GB" w:eastAsia="pl-PL"/>
              </w:rPr>
              <w:t>the graduate knows how to</w:t>
            </w:r>
            <w:r w:rsidRPr="001F6724">
              <w:rPr>
                <w:rFonts w:eastAsia="Arial Unicode MS"/>
                <w:sz w:val="20"/>
                <w:szCs w:val="20"/>
                <w:lang w:val="en-GB" w:eastAsia="pl-PL"/>
              </w:rPr>
              <w:t>:</w:t>
            </w:r>
          </w:p>
        </w:tc>
      </w:tr>
      <w:tr w:rsidR="002A5371" w:rsidRPr="00EE2575" w:rsidTr="00AE5A4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U1.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71" w:rsidRPr="00F8394D" w:rsidRDefault="002B4DB6" w:rsidP="00F8394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Style w:val="gt-text"/>
                <w:sz w:val="20"/>
                <w:szCs w:val="20"/>
                <w:lang w:val="en-US"/>
              </w:rPr>
              <w:t>analyz</w:t>
            </w:r>
            <w:r w:rsidR="001F6724">
              <w:rPr>
                <w:rStyle w:val="gt-text"/>
                <w:sz w:val="20"/>
                <w:szCs w:val="20"/>
                <w:lang w:val="en-US"/>
              </w:rPr>
              <w:t>e</w:t>
            </w:r>
            <w:r w:rsidR="00F8394D">
              <w:rPr>
                <w:rStyle w:val="gt-text"/>
                <w:sz w:val="20"/>
                <w:szCs w:val="20"/>
                <w:lang w:val="en-US"/>
              </w:rPr>
              <w:t xml:space="preserve"> genetic cross</w:t>
            </w:r>
            <w:r w:rsidR="00404DD1">
              <w:rPr>
                <w:rStyle w:val="gt-text"/>
                <w:sz w:val="20"/>
                <w:szCs w:val="20"/>
                <w:lang w:val="en-US"/>
              </w:rPr>
              <w:t>ing over</w:t>
            </w:r>
            <w:r w:rsidR="002A5371" w:rsidRPr="002A5371">
              <w:rPr>
                <w:rStyle w:val="gt-text"/>
                <w:sz w:val="20"/>
                <w:szCs w:val="20"/>
                <w:lang w:val="en-US"/>
              </w:rPr>
              <w:t xml:space="preserve">, pedigree qualities and human diseases as well as the estimated risk of having a child with chromosomal aberrations;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53270B" w:rsidRDefault="002A5371" w:rsidP="002A5371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53270B">
              <w:rPr>
                <w:rFonts w:eastAsia="Arial Unicode MS"/>
                <w:sz w:val="18"/>
                <w:szCs w:val="18"/>
                <w:lang w:val="en-GB" w:eastAsia="pl-PL"/>
              </w:rPr>
              <w:t>C.U1</w:t>
            </w:r>
          </w:p>
        </w:tc>
      </w:tr>
      <w:tr w:rsidR="002A5371" w:rsidRPr="00EE2575" w:rsidTr="00AE5A4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U2.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71" w:rsidRPr="002A5371" w:rsidRDefault="00417EA6" w:rsidP="002A5371">
            <w:pPr>
              <w:jc w:val="both"/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Style w:val="gt-text"/>
                <w:sz w:val="20"/>
                <w:szCs w:val="20"/>
                <w:lang w:val="en-US"/>
              </w:rPr>
              <w:t>identify</w:t>
            </w:r>
            <w:r w:rsidR="002A5371" w:rsidRPr="002A5371">
              <w:rPr>
                <w:rStyle w:val="gt-text"/>
                <w:sz w:val="20"/>
                <w:szCs w:val="20"/>
                <w:lang w:val="en-US"/>
              </w:rPr>
              <w:t xml:space="preserve"> indications for prenatal diagnosis;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C.U2.</w:t>
            </w:r>
          </w:p>
        </w:tc>
      </w:tr>
      <w:tr w:rsidR="002A5371" w:rsidRPr="00EE2575" w:rsidTr="00AE5A4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U3.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71" w:rsidRPr="002A5371" w:rsidRDefault="00417EA6" w:rsidP="002A5371">
            <w:pPr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Style w:val="gt-text"/>
                <w:sz w:val="20"/>
                <w:szCs w:val="20"/>
                <w:lang w:val="en-US"/>
              </w:rPr>
              <w:t>make</w:t>
            </w:r>
            <w:r w:rsidR="002A5371" w:rsidRPr="002A5371">
              <w:rPr>
                <w:rStyle w:val="gt-text"/>
                <w:sz w:val="20"/>
                <w:szCs w:val="20"/>
                <w:lang w:val="en-US"/>
              </w:rPr>
              <w:t xml:space="preserve"> a decision on the need to perform cytogenetic and molecular tests</w:t>
            </w:r>
            <w:r w:rsidR="00404DD1">
              <w:rPr>
                <w:rStyle w:val="gt-text"/>
                <w:sz w:val="20"/>
                <w:szCs w:val="20"/>
                <w:lang w:val="en-US"/>
              </w:rPr>
              <w:t>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C.U3.</w:t>
            </w:r>
          </w:p>
        </w:tc>
      </w:tr>
      <w:tr w:rsidR="002A5371" w:rsidRPr="00EE2575" w:rsidTr="00AE5A4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U4.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71" w:rsidRPr="002A5371" w:rsidRDefault="00417EA6" w:rsidP="002A5371">
            <w:pPr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Style w:val="gt-text"/>
                <w:sz w:val="20"/>
                <w:szCs w:val="20"/>
                <w:lang w:val="en-US"/>
              </w:rPr>
              <w:t>make</w:t>
            </w:r>
            <w:r w:rsidR="002A5371" w:rsidRPr="002A5371">
              <w:rPr>
                <w:rStyle w:val="gt-text"/>
                <w:sz w:val="20"/>
                <w:szCs w:val="20"/>
                <w:lang w:val="en-US"/>
              </w:rPr>
              <w:t xml:space="preserve"> morphometric measurements, analyzes the developmental profile and records the diseases’ karyotypes;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C.U4.</w:t>
            </w:r>
          </w:p>
        </w:tc>
      </w:tr>
      <w:tr w:rsidR="002A5371" w:rsidRPr="00EE2575" w:rsidTr="00AE5A4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U5.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71" w:rsidRPr="002A5371" w:rsidRDefault="00404DD1" w:rsidP="002A5371">
            <w:pPr>
              <w:rPr>
                <w:color w:val="000000"/>
                <w:sz w:val="20"/>
                <w:szCs w:val="20"/>
                <w:lang w:val="en-US" w:eastAsia="pl-PL"/>
              </w:rPr>
            </w:pPr>
            <w:r>
              <w:rPr>
                <w:rStyle w:val="gt-text"/>
                <w:sz w:val="20"/>
                <w:szCs w:val="20"/>
                <w:lang w:val="en-US"/>
              </w:rPr>
              <w:t>assess</w:t>
            </w:r>
            <w:r w:rsidR="002A5371" w:rsidRPr="002A5371">
              <w:rPr>
                <w:rStyle w:val="gt-text"/>
                <w:sz w:val="20"/>
                <w:szCs w:val="20"/>
                <w:lang w:val="en-US"/>
              </w:rPr>
              <w:t xml:space="preserve"> the risk of disclosure of a particular disease in the offspring based on family predisposition and the influence of environmental factors;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371" w:rsidRPr="005E6967" w:rsidRDefault="002A5371" w:rsidP="002A5371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5E6967">
              <w:rPr>
                <w:color w:val="000000"/>
                <w:sz w:val="20"/>
                <w:szCs w:val="20"/>
                <w:lang w:eastAsia="pl-PL"/>
              </w:rPr>
              <w:t>C.U5.</w:t>
            </w:r>
          </w:p>
        </w:tc>
      </w:tr>
    </w:tbl>
    <w:p w:rsidR="003D5E6A" w:rsidRDefault="002A5371" w:rsidP="002A5371">
      <w:r>
        <w:br w:type="textWrapping" w:clear="all"/>
      </w:r>
    </w:p>
    <w:tbl>
      <w:tblPr>
        <w:tblStyle w:val="TableGrid"/>
        <w:tblpPr w:leftFromText="141" w:rightFromText="141" w:vertAnchor="page" w:horzAnchor="margin" w:tblpY="691"/>
        <w:tblW w:w="9776" w:type="dxa"/>
        <w:tblInd w:w="0" w:type="dxa"/>
        <w:tblCellMar>
          <w:top w:w="7" w:type="dxa"/>
          <w:left w:w="67" w:type="dxa"/>
          <w:right w:w="80" w:type="dxa"/>
        </w:tblCellMar>
        <w:tblLook w:val="04A0"/>
      </w:tblPr>
      <w:tblGrid>
        <w:gridCol w:w="846"/>
        <w:gridCol w:w="7371"/>
        <w:gridCol w:w="1559"/>
      </w:tblGrid>
      <w:tr w:rsidR="003D5E6A" w:rsidRPr="00F616DB" w:rsidTr="003D5E6A">
        <w:trPr>
          <w:trHeight w:val="29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E6A" w:rsidRPr="003D5E6A" w:rsidRDefault="003D5E6A" w:rsidP="003D5E6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5E6A" w:rsidRPr="00F616DB" w:rsidRDefault="003D5E6A" w:rsidP="003D5E6A">
            <w:pPr>
              <w:ind w:left="2014"/>
              <w:jc w:val="center"/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 w:rsidRPr="00F616DB">
              <w:rPr>
                <w:color w:val="000000"/>
                <w:sz w:val="20"/>
                <w:szCs w:val="20"/>
                <w:lang w:val="en-US" w:eastAsia="pl-PL"/>
              </w:rPr>
              <w:t xml:space="preserve">within the scope of </w:t>
            </w:r>
            <w:r w:rsidRPr="00F616DB">
              <w:rPr>
                <w:b/>
                <w:color w:val="000000"/>
                <w:sz w:val="20"/>
                <w:szCs w:val="20"/>
                <w:lang w:val="en-US" w:eastAsia="pl-PL"/>
              </w:rPr>
              <w:t>SOCIAL COMPETENCE</w:t>
            </w:r>
            <w:r w:rsidRPr="00F616DB">
              <w:rPr>
                <w:color w:val="000000"/>
                <w:sz w:val="20"/>
                <w:szCs w:val="20"/>
                <w:lang w:val="en-US" w:eastAsia="pl-PL"/>
              </w:rPr>
              <w:t>, the graduateisable to: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5E6A" w:rsidRPr="00F616DB" w:rsidRDefault="003D5E6A" w:rsidP="003D5E6A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3D5E6A" w:rsidRPr="003D5E6A" w:rsidTr="003D5E6A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6A" w:rsidRPr="003D5E6A" w:rsidRDefault="003D5E6A" w:rsidP="003D5E6A">
            <w:pPr>
              <w:ind w:left="82"/>
              <w:jc w:val="center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 w:rsidRPr="003D5E6A">
              <w:rPr>
                <w:color w:val="000000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6A" w:rsidRPr="00F616DB" w:rsidRDefault="003D5E6A" w:rsidP="003D5E6A">
            <w:pPr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 w:rsidRPr="00F616DB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 xml:space="preserve">establish and maintaindeep and respectfulcontact with the patient and show understandingtowardsideological and culturaldifferences;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6A" w:rsidRPr="003D5E6A" w:rsidRDefault="003D5E6A" w:rsidP="003D5E6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 w:rsidRPr="003D5E6A">
              <w:rPr>
                <w:rFonts w:eastAsia="Calibri"/>
                <w:color w:val="000000"/>
                <w:sz w:val="20"/>
                <w:szCs w:val="20"/>
                <w:lang w:eastAsia="pl-PL"/>
              </w:rPr>
              <w:t>H.S1</w:t>
            </w:r>
          </w:p>
        </w:tc>
      </w:tr>
      <w:tr w:rsidR="003D5E6A" w:rsidRPr="003D5E6A" w:rsidTr="003D5E6A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6A" w:rsidRPr="003D5E6A" w:rsidRDefault="003D5E6A" w:rsidP="003D5E6A">
            <w:pPr>
              <w:ind w:left="8"/>
              <w:jc w:val="center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 w:rsidRPr="003D5E6A">
              <w:rPr>
                <w:rFonts w:eastAsia="Calibri"/>
                <w:color w:val="000000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6A" w:rsidRPr="00F616DB" w:rsidRDefault="003D5E6A" w:rsidP="003D5E6A">
            <w:pPr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 w:rsidRPr="00F616DB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do whatisright for the patient;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6A" w:rsidRPr="003D5E6A" w:rsidRDefault="003D5E6A" w:rsidP="003D5E6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 w:rsidRPr="003D5E6A">
              <w:rPr>
                <w:rFonts w:eastAsia="Calibri"/>
                <w:color w:val="000000"/>
                <w:sz w:val="20"/>
                <w:szCs w:val="20"/>
                <w:lang w:eastAsia="pl-PL"/>
              </w:rPr>
              <w:t>H.S2</w:t>
            </w:r>
          </w:p>
        </w:tc>
      </w:tr>
      <w:tr w:rsidR="003D5E6A" w:rsidRPr="003D5E6A" w:rsidTr="003D5E6A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6A" w:rsidRPr="003D5E6A" w:rsidRDefault="003D5E6A" w:rsidP="003D5E6A">
            <w:pPr>
              <w:ind w:left="8"/>
              <w:jc w:val="center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 w:rsidRPr="003D5E6A">
              <w:rPr>
                <w:rFonts w:eastAsia="Calibri"/>
                <w:color w:val="000000"/>
                <w:sz w:val="20"/>
                <w:szCs w:val="20"/>
                <w:lang w:eastAsia="pl-PL"/>
              </w:rPr>
              <w:t>K03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6A" w:rsidRPr="003D5E6A" w:rsidRDefault="003D5E6A" w:rsidP="003D5E6A">
            <w:pPr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 w:rsidRPr="003D5E6A">
              <w:rPr>
                <w:rFonts w:eastAsia="Calibri"/>
                <w:color w:val="000000"/>
                <w:sz w:val="20"/>
                <w:szCs w:val="20"/>
                <w:lang w:eastAsia="pl-PL"/>
              </w:rPr>
              <w:t>respectmedicalconfidentiality and patient’srights;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6A" w:rsidRPr="003D5E6A" w:rsidRDefault="003D5E6A" w:rsidP="003D5E6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D5E6A">
              <w:rPr>
                <w:color w:val="000000"/>
                <w:sz w:val="20"/>
                <w:szCs w:val="20"/>
                <w:lang w:eastAsia="pl-PL"/>
              </w:rPr>
              <w:t>H.S3</w:t>
            </w:r>
          </w:p>
        </w:tc>
      </w:tr>
      <w:tr w:rsidR="003D5E6A" w:rsidRPr="003D5E6A" w:rsidTr="003D5E6A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6A" w:rsidRPr="003D5E6A" w:rsidRDefault="003D5E6A" w:rsidP="003D5E6A">
            <w:pPr>
              <w:ind w:left="8"/>
              <w:jc w:val="center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 w:rsidRPr="003D5E6A">
              <w:rPr>
                <w:rFonts w:eastAsia="Calibri"/>
                <w:color w:val="000000"/>
                <w:sz w:val="20"/>
                <w:szCs w:val="20"/>
                <w:lang w:eastAsia="pl-PL"/>
              </w:rPr>
              <w:t>K04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6A" w:rsidRPr="00F616DB" w:rsidRDefault="003D5E6A" w:rsidP="003D5E6A">
            <w:pPr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 w:rsidRPr="00F616DB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takeactionsconcerning the patient on the basis of ethicalprinciples, beingaware of socialconditions and restrictionsresulting from illness;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6A" w:rsidRPr="003D5E6A" w:rsidRDefault="003D5E6A" w:rsidP="003D5E6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D5E6A">
              <w:rPr>
                <w:color w:val="000000"/>
                <w:sz w:val="20"/>
                <w:szCs w:val="20"/>
                <w:lang w:eastAsia="pl-PL"/>
              </w:rPr>
              <w:t>H.S4</w:t>
            </w:r>
          </w:p>
        </w:tc>
      </w:tr>
      <w:tr w:rsidR="003D5E6A" w:rsidRPr="003D5E6A" w:rsidTr="003D5E6A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6A" w:rsidRPr="003D5E6A" w:rsidRDefault="003D5E6A" w:rsidP="003D5E6A">
            <w:pPr>
              <w:ind w:left="8"/>
              <w:jc w:val="center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 w:rsidRPr="003D5E6A">
              <w:rPr>
                <w:rFonts w:eastAsia="Calibri"/>
                <w:color w:val="000000"/>
                <w:sz w:val="20"/>
                <w:szCs w:val="20"/>
                <w:lang w:eastAsia="pl-PL"/>
              </w:rPr>
              <w:t>K05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6A" w:rsidRPr="00F616DB" w:rsidRDefault="003D5E6A" w:rsidP="003D5E6A">
            <w:pPr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 w:rsidRPr="00F616DB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recognizehis/herownlimitations and self-evaluateeducationaldeficiencies and needs;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6A" w:rsidRPr="003D5E6A" w:rsidRDefault="003D5E6A" w:rsidP="003D5E6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D5E6A">
              <w:rPr>
                <w:color w:val="000000"/>
                <w:sz w:val="20"/>
                <w:szCs w:val="20"/>
                <w:lang w:eastAsia="pl-PL"/>
              </w:rPr>
              <w:t>H.S5</w:t>
            </w:r>
          </w:p>
        </w:tc>
      </w:tr>
      <w:tr w:rsidR="003D5E6A" w:rsidRPr="003D5E6A" w:rsidTr="003D5E6A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6A" w:rsidRPr="003D5E6A" w:rsidRDefault="003D5E6A" w:rsidP="003D5E6A">
            <w:pPr>
              <w:ind w:left="8"/>
              <w:jc w:val="center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 w:rsidRPr="003D5E6A">
              <w:rPr>
                <w:rFonts w:eastAsia="Calibri"/>
                <w:color w:val="000000"/>
                <w:sz w:val="20"/>
                <w:szCs w:val="20"/>
                <w:lang w:eastAsia="pl-PL"/>
              </w:rPr>
              <w:t>K06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6A" w:rsidRPr="003D5E6A" w:rsidRDefault="003D5E6A" w:rsidP="003D5E6A">
            <w:pPr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 w:rsidRPr="003D5E6A">
              <w:rPr>
                <w:rFonts w:eastAsia="Calibri"/>
                <w:color w:val="000000"/>
                <w:sz w:val="20"/>
                <w:szCs w:val="20"/>
                <w:lang w:eastAsia="pl-PL"/>
              </w:rPr>
              <w:t>promotehealthylifestyle;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6A" w:rsidRPr="003D5E6A" w:rsidRDefault="003D5E6A" w:rsidP="003D5E6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D5E6A">
              <w:rPr>
                <w:color w:val="000000"/>
                <w:sz w:val="20"/>
                <w:szCs w:val="20"/>
                <w:lang w:eastAsia="pl-PL"/>
              </w:rPr>
              <w:t>H.S6</w:t>
            </w:r>
          </w:p>
        </w:tc>
      </w:tr>
      <w:tr w:rsidR="003D5E6A" w:rsidRPr="003D5E6A" w:rsidTr="003D5E6A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6A" w:rsidRPr="003D5E6A" w:rsidRDefault="003D5E6A" w:rsidP="003D5E6A">
            <w:pPr>
              <w:ind w:left="8"/>
              <w:jc w:val="center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 w:rsidRPr="003D5E6A">
              <w:rPr>
                <w:rFonts w:eastAsia="Calibri"/>
                <w:color w:val="000000"/>
                <w:sz w:val="20"/>
                <w:szCs w:val="20"/>
                <w:lang w:eastAsia="pl-PL"/>
              </w:rPr>
              <w:t>K07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6A" w:rsidRPr="003D5E6A" w:rsidRDefault="003D5E6A" w:rsidP="003D5E6A">
            <w:pPr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 w:rsidRPr="003D5E6A">
              <w:rPr>
                <w:rFonts w:eastAsia="Calibri"/>
                <w:color w:val="000000"/>
                <w:sz w:val="20"/>
                <w:szCs w:val="20"/>
                <w:lang w:eastAsia="pl-PL"/>
              </w:rPr>
              <w:t>usereliableinformationsources;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6A" w:rsidRPr="003D5E6A" w:rsidRDefault="003D5E6A" w:rsidP="003D5E6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D5E6A">
              <w:rPr>
                <w:color w:val="000000"/>
                <w:sz w:val="20"/>
                <w:szCs w:val="20"/>
                <w:lang w:eastAsia="pl-PL"/>
              </w:rPr>
              <w:t>H.S7</w:t>
            </w:r>
          </w:p>
        </w:tc>
      </w:tr>
      <w:tr w:rsidR="003D5E6A" w:rsidRPr="003D5E6A" w:rsidTr="003D5E6A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6A" w:rsidRPr="003D5E6A" w:rsidRDefault="003D5E6A" w:rsidP="003D5E6A">
            <w:pPr>
              <w:ind w:left="8"/>
              <w:jc w:val="center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 w:rsidRPr="003D5E6A">
              <w:rPr>
                <w:rFonts w:eastAsia="Calibri"/>
                <w:color w:val="000000"/>
                <w:sz w:val="20"/>
                <w:szCs w:val="20"/>
                <w:lang w:eastAsia="pl-PL"/>
              </w:rPr>
              <w:t>K08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6A" w:rsidRPr="00F616DB" w:rsidRDefault="003D5E6A" w:rsidP="003D5E6A">
            <w:pPr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 w:rsidRPr="00F616DB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conclude on the basis of ownsurveys and observations;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6A" w:rsidRPr="003D5E6A" w:rsidRDefault="003D5E6A" w:rsidP="003D5E6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D5E6A">
              <w:rPr>
                <w:color w:val="000000"/>
                <w:sz w:val="20"/>
                <w:szCs w:val="20"/>
                <w:lang w:eastAsia="pl-PL"/>
              </w:rPr>
              <w:t>H.S8</w:t>
            </w:r>
          </w:p>
        </w:tc>
      </w:tr>
      <w:tr w:rsidR="003D5E6A" w:rsidRPr="003D5E6A" w:rsidTr="003D5E6A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6A" w:rsidRPr="003D5E6A" w:rsidRDefault="003D5E6A" w:rsidP="003D5E6A">
            <w:pPr>
              <w:ind w:left="8"/>
              <w:jc w:val="center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 w:rsidRPr="003D5E6A">
              <w:rPr>
                <w:rFonts w:eastAsia="Calibri"/>
                <w:color w:val="000000"/>
                <w:sz w:val="20"/>
                <w:szCs w:val="20"/>
                <w:lang w:eastAsia="pl-PL"/>
              </w:rPr>
              <w:t>K09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6A" w:rsidRPr="00F616DB" w:rsidRDefault="003D5E6A" w:rsidP="003D5E6A">
            <w:pPr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 w:rsidRPr="00F616DB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introducerules of socialconduct and teamwork to the group of specialists, includingspecialists form othermedicalprofessionsalso in the multicultural and multinational environment;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6A" w:rsidRPr="003D5E6A" w:rsidRDefault="003D5E6A" w:rsidP="003D5E6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D5E6A">
              <w:rPr>
                <w:color w:val="000000"/>
                <w:sz w:val="20"/>
                <w:szCs w:val="20"/>
                <w:lang w:eastAsia="pl-PL"/>
              </w:rPr>
              <w:t>H.S9</w:t>
            </w:r>
          </w:p>
        </w:tc>
      </w:tr>
      <w:tr w:rsidR="003D5E6A" w:rsidRPr="003D5E6A" w:rsidTr="003D5E6A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6A" w:rsidRPr="003D5E6A" w:rsidRDefault="003D5E6A" w:rsidP="003D5E6A">
            <w:pPr>
              <w:ind w:left="8"/>
              <w:jc w:val="center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 w:rsidRPr="003D5E6A">
              <w:rPr>
                <w:rFonts w:eastAsia="Calibri"/>
                <w:color w:val="000000"/>
                <w:sz w:val="20"/>
                <w:szCs w:val="20"/>
                <w:lang w:eastAsia="pl-PL"/>
              </w:rPr>
              <w:t>K10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6A" w:rsidRPr="003D5E6A" w:rsidRDefault="003D5E6A" w:rsidP="003D5E6A">
            <w:pPr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 w:rsidRPr="003D5E6A">
              <w:rPr>
                <w:rFonts w:eastAsia="Calibri"/>
                <w:color w:val="000000"/>
                <w:sz w:val="20"/>
                <w:szCs w:val="20"/>
                <w:lang w:eastAsia="pl-PL"/>
              </w:rPr>
              <w:t>giveopinionsconcerningvariousaspects of professionalactivity;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6A" w:rsidRPr="003D5E6A" w:rsidRDefault="003D5E6A" w:rsidP="003D5E6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D5E6A">
              <w:rPr>
                <w:color w:val="000000"/>
                <w:sz w:val="20"/>
                <w:szCs w:val="20"/>
                <w:lang w:eastAsia="pl-PL"/>
              </w:rPr>
              <w:t>H.S10</w:t>
            </w:r>
          </w:p>
        </w:tc>
      </w:tr>
      <w:tr w:rsidR="003D5E6A" w:rsidRPr="003D5E6A" w:rsidTr="003D5E6A">
        <w:trPr>
          <w:trHeight w:val="29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6A" w:rsidRPr="003D5E6A" w:rsidRDefault="003D5E6A" w:rsidP="003D5E6A">
            <w:pPr>
              <w:ind w:left="8"/>
              <w:jc w:val="center"/>
              <w:rPr>
                <w:rFonts w:eastAsia="Calibri"/>
                <w:color w:val="000000"/>
                <w:sz w:val="20"/>
                <w:szCs w:val="20"/>
                <w:lang w:eastAsia="pl-PL"/>
              </w:rPr>
            </w:pPr>
            <w:r w:rsidRPr="003D5E6A">
              <w:rPr>
                <w:rFonts w:eastAsia="Calibri"/>
                <w:color w:val="000000"/>
                <w:sz w:val="20"/>
                <w:szCs w:val="20"/>
                <w:lang w:eastAsia="pl-PL"/>
              </w:rPr>
              <w:t>K11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6A" w:rsidRPr="00F616DB" w:rsidRDefault="003D5E6A" w:rsidP="003D5E6A">
            <w:pPr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</w:pPr>
            <w:r w:rsidRPr="00F616DB">
              <w:rPr>
                <w:rFonts w:eastAsia="Calibri"/>
                <w:color w:val="000000"/>
                <w:sz w:val="20"/>
                <w:szCs w:val="20"/>
                <w:lang w:val="en-US" w:eastAsia="pl-PL"/>
              </w:rPr>
              <w:t>takeresponsibility for owndecisionsmadeduringprofessionalactivitiesincludingownsafety and safety of otherpeople;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E6A" w:rsidRPr="003D5E6A" w:rsidRDefault="003D5E6A" w:rsidP="003D5E6A">
            <w:pPr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3D5E6A">
              <w:rPr>
                <w:color w:val="000000"/>
                <w:sz w:val="20"/>
                <w:szCs w:val="20"/>
                <w:lang w:eastAsia="pl-PL"/>
              </w:rPr>
              <w:t>H.S11</w:t>
            </w:r>
          </w:p>
        </w:tc>
      </w:tr>
    </w:tbl>
    <w:p w:rsidR="002A5371" w:rsidRDefault="002A5371" w:rsidP="002A5371"/>
    <w:p w:rsidR="002A5371" w:rsidRDefault="002A5371" w:rsidP="003D5E6A">
      <w:pPr>
        <w:spacing w:after="160" w:line="259" w:lineRule="auto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2A5371" w:rsidRPr="00F616DB" w:rsidTr="00937612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73495B" w:rsidRDefault="002A5371" w:rsidP="002A5371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Methods of ass</w:t>
            </w: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>essment of the intended learning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 outcomes</w:t>
            </w:r>
          </w:p>
        </w:tc>
      </w:tr>
      <w:tr w:rsidR="002A5371" w:rsidRPr="00EE2575" w:rsidTr="00937612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371" w:rsidRPr="00EE2575" w:rsidRDefault="002A5371" w:rsidP="00937612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2A5371" w:rsidRPr="0073495B" w:rsidRDefault="002A5371" w:rsidP="00937612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  <w:p w:rsidR="002A5371" w:rsidRPr="0073495B" w:rsidRDefault="002A5371" w:rsidP="00937612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(code</w:t>
            </w:r>
            <w:r w:rsidRPr="0073495B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73495B" w:rsidRDefault="002A5371" w:rsidP="00937612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Method of assessment </w:t>
            </w:r>
            <w:r w:rsidRPr="0073495B">
              <w:rPr>
                <w:rFonts w:eastAsia="Arial Unicode MS"/>
                <w:b/>
                <w:sz w:val="20"/>
                <w:szCs w:val="20"/>
                <w:lang w:val="en-GB" w:eastAsia="pl-PL"/>
              </w:rPr>
              <w:t>(+/-)</w:t>
            </w:r>
          </w:p>
        </w:tc>
      </w:tr>
      <w:tr w:rsidR="002A5371" w:rsidRPr="00EE2575" w:rsidTr="00937612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71" w:rsidRPr="0073495B" w:rsidRDefault="002A5371" w:rsidP="00937612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5371" w:rsidRPr="0073495B" w:rsidRDefault="002A5371" w:rsidP="00937612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Exam oral/written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5371" w:rsidRPr="0073495B" w:rsidRDefault="002A5371" w:rsidP="00937612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Test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Project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5371" w:rsidRPr="00EE2575" w:rsidRDefault="002A5371" w:rsidP="00937612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2A5371" w:rsidRPr="0073495B" w:rsidRDefault="002A5371" w:rsidP="00937612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in class</w:t>
            </w:r>
            <w:r w:rsidRPr="0073495B">
              <w:rPr>
                <w:rFonts w:eastAsia="Arial Unicode MS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Self-study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Group work*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5371" w:rsidRDefault="002A5371" w:rsidP="00937612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Others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  <w:p w:rsidR="00F616DB" w:rsidRPr="0073495B" w:rsidRDefault="00F616DB" w:rsidP="00937612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  <w:lang w:val="en-GB" w:eastAsia="pl-PL"/>
              </w:rPr>
            </w:pPr>
            <w:r>
              <w:rPr>
                <w:rFonts w:eastAsia="Arial Unicode MS"/>
                <w:b/>
                <w:sz w:val="16"/>
                <w:szCs w:val="16"/>
                <w:lang w:val="en-GB" w:eastAsia="pl-PL"/>
              </w:rPr>
              <w:t>Observation</w:t>
            </w:r>
          </w:p>
        </w:tc>
      </w:tr>
      <w:tr w:rsidR="002A5371" w:rsidRPr="00EE2575" w:rsidTr="00937612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71" w:rsidRPr="0073495B" w:rsidRDefault="002A5371" w:rsidP="00937612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2A5371" w:rsidRPr="00EE2575" w:rsidTr="00937612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73495B" w:rsidRDefault="002A5371" w:rsidP="00937612">
            <w:pPr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A5371" w:rsidRPr="0073495B" w:rsidRDefault="002A5371" w:rsidP="00937612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</w:tr>
      <w:tr w:rsidR="00733958" w:rsidRPr="00733958" w:rsidTr="00937612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58" w:rsidRPr="00733958" w:rsidRDefault="00733958" w:rsidP="00733958">
            <w:pPr>
              <w:jc w:val="center"/>
              <w:rPr>
                <w:rFonts w:eastAsia="Arial Unicode MS"/>
                <w:sz w:val="20"/>
                <w:szCs w:val="20"/>
                <w:lang w:eastAsia="pl-PL"/>
              </w:rPr>
            </w:pPr>
            <w:r w:rsidRPr="001E3CB5">
              <w:rPr>
                <w:rFonts w:eastAsia="Arial Unicode MS"/>
                <w:sz w:val="20"/>
                <w:szCs w:val="20"/>
                <w:lang w:eastAsia="pl-PL"/>
              </w:rPr>
              <w:t>W1; W2; W3; W5; W7; W8; W9; W10; W11; W13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D02186">
              <w:rPr>
                <w:rFonts w:eastAsia="Arial Unicode MS"/>
                <w:b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58" w:rsidRPr="00D02186" w:rsidRDefault="007E017C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3958" w:rsidRPr="00733958" w:rsidRDefault="00733958" w:rsidP="0073395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733958" w:rsidRPr="00EE2575" w:rsidTr="00937612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58" w:rsidRPr="0073495B" w:rsidRDefault="00733958" w:rsidP="00733958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…</w:t>
            </w:r>
            <w:r w:rsidR="0070757C">
              <w:rPr>
                <w:rFonts w:eastAsia="Arial Unicode MS"/>
                <w:sz w:val="20"/>
                <w:szCs w:val="20"/>
                <w:lang w:val="en-GB" w:eastAsia="pl-PL"/>
              </w:rPr>
              <w:t xml:space="preserve"> W4; W6; W12</w:t>
            </w:r>
            <w:r w:rsidRPr="00D02186">
              <w:rPr>
                <w:rFonts w:eastAsia="Arial Unicode MS"/>
                <w:sz w:val="20"/>
                <w:szCs w:val="20"/>
                <w:lang w:val="en-GB" w:eastAsia="pl-PL"/>
              </w:rPr>
              <w:t xml:space="preserve">; </w:t>
            </w:r>
            <w:r w:rsidR="004E3F50">
              <w:rPr>
                <w:rFonts w:eastAsia="Arial Unicode MS"/>
                <w:sz w:val="20"/>
                <w:szCs w:val="20"/>
                <w:lang w:val="en-GB" w:eastAsia="pl-PL"/>
              </w:rPr>
              <w:t xml:space="preserve">W13; </w:t>
            </w:r>
            <w:r w:rsidRPr="00D02186">
              <w:rPr>
                <w:rFonts w:eastAsia="Arial Unicode MS"/>
                <w:sz w:val="20"/>
                <w:szCs w:val="20"/>
                <w:lang w:val="en-GB" w:eastAsia="pl-PL"/>
              </w:rPr>
              <w:t>U1 – U5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D02186">
              <w:rPr>
                <w:rFonts w:eastAsia="Arial Unicode MS"/>
                <w:b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58" w:rsidRPr="00D02186" w:rsidRDefault="007E017C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3958" w:rsidRPr="00D02186" w:rsidRDefault="00733958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3958" w:rsidRPr="0073495B" w:rsidRDefault="00733958" w:rsidP="0073395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F616DB" w:rsidRPr="00EE2575" w:rsidTr="00937612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DB" w:rsidRPr="0073495B" w:rsidRDefault="00F616DB" w:rsidP="00733958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K01-K11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616DB" w:rsidRPr="00D02186" w:rsidRDefault="00F616DB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616DB" w:rsidRPr="00D02186" w:rsidRDefault="00F616DB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16DB" w:rsidRPr="00D02186" w:rsidRDefault="00F616DB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616DB" w:rsidRPr="00D02186" w:rsidRDefault="00F616DB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616DB" w:rsidRPr="00D02186" w:rsidRDefault="00F616DB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DB" w:rsidRPr="00D02186" w:rsidRDefault="00F616DB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616DB" w:rsidRPr="00D02186" w:rsidRDefault="00F616DB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616DB" w:rsidRPr="00D02186" w:rsidRDefault="00F616DB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16DB" w:rsidRPr="00D02186" w:rsidRDefault="00F616DB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616DB" w:rsidRPr="00D02186" w:rsidRDefault="00F616DB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DB" w:rsidRDefault="00F616DB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DB" w:rsidRPr="00D02186" w:rsidRDefault="00F616DB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616DB" w:rsidRPr="00D02186" w:rsidRDefault="00F616DB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16DB" w:rsidRPr="00D02186" w:rsidRDefault="00F616DB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16DB" w:rsidRPr="00D02186" w:rsidRDefault="00F616DB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616DB" w:rsidRPr="00D02186" w:rsidRDefault="00F616DB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DB" w:rsidRPr="00D02186" w:rsidRDefault="00F616DB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6DB" w:rsidRPr="00D02186" w:rsidRDefault="00F616DB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616DB" w:rsidRPr="00D02186" w:rsidRDefault="00F616DB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16DB" w:rsidRPr="00D02186" w:rsidRDefault="00F616DB" w:rsidP="00733958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16DB" w:rsidRPr="0073495B" w:rsidRDefault="00F616DB" w:rsidP="00733958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</w:tbl>
    <w:p w:rsidR="002A5371" w:rsidRPr="00EE2575" w:rsidRDefault="002A5371" w:rsidP="002A5371">
      <w:pPr>
        <w:rPr>
          <w:b/>
          <w:i/>
          <w:sz w:val="18"/>
          <w:szCs w:val="18"/>
          <w:lang w:val="en-GB"/>
        </w:rPr>
      </w:pPr>
      <w:r w:rsidRPr="00EE2575">
        <w:rPr>
          <w:b/>
          <w:i/>
          <w:sz w:val="18"/>
          <w:szCs w:val="18"/>
          <w:lang w:val="en-GB"/>
        </w:rPr>
        <w:t>*delete as appropriate</w:t>
      </w:r>
    </w:p>
    <w:p w:rsidR="002A5371" w:rsidRPr="00EE2575" w:rsidRDefault="002A5371" w:rsidP="002A5371">
      <w:pPr>
        <w:rPr>
          <w:lang w:val="en-GB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"/>
        <w:gridCol w:w="720"/>
        <w:gridCol w:w="8197"/>
      </w:tblGrid>
      <w:tr w:rsidR="002A5371" w:rsidRPr="00F616DB" w:rsidTr="0093761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AC669C" w:rsidRDefault="002A5371" w:rsidP="002A5371">
            <w:pPr>
              <w:numPr>
                <w:ilvl w:val="1"/>
                <w:numId w:val="3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Criteria of asse</w:t>
            </w:r>
            <w:r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ssment of the intended learning 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2A5371" w:rsidRPr="00EE2575" w:rsidTr="00937612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71" w:rsidRPr="00AC669C" w:rsidRDefault="002A5371" w:rsidP="00937612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71" w:rsidRPr="00AC669C" w:rsidRDefault="002A5371" w:rsidP="00937612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71" w:rsidRPr="00AC669C" w:rsidRDefault="002A5371" w:rsidP="00937612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2A5371" w:rsidRPr="00F616DB" w:rsidTr="00937612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5371" w:rsidRPr="00AC669C" w:rsidRDefault="002A5371" w:rsidP="002A5371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 lecture (L</w:t>
            </w: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AC669C" w:rsidRDefault="002A5371" w:rsidP="002A537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71" w:rsidRPr="00827491" w:rsidRDefault="002A5371" w:rsidP="002A5371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61</w:t>
            </w:r>
            <w:r w:rsidRPr="0053270B">
              <w:rPr>
                <w:rFonts w:eastAsia="Arial Unicode MS"/>
                <w:sz w:val="18"/>
                <w:szCs w:val="18"/>
                <w:lang w:val="en-GB" w:eastAsia="pl-PL"/>
              </w:rPr>
              <w:t>%- 6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>8</w:t>
            </w:r>
            <w:r w:rsidRPr="0053270B">
              <w:rPr>
                <w:rFonts w:eastAsia="Arial Unicode MS"/>
                <w:sz w:val="18"/>
                <w:szCs w:val="18"/>
                <w:lang w:val="en-GB" w:eastAsia="pl-PL"/>
              </w:rPr>
              <w:t xml:space="preserve">%Learning programme content on the basic level, replies chaotic, leading questions necessary.  </w:t>
            </w:r>
          </w:p>
        </w:tc>
      </w:tr>
      <w:tr w:rsidR="002A5371" w:rsidRPr="00F616DB" w:rsidTr="00937612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71" w:rsidRPr="00AC669C" w:rsidRDefault="002A5371" w:rsidP="002A537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AC669C" w:rsidRDefault="002A5371" w:rsidP="002A537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71" w:rsidRPr="00827491" w:rsidRDefault="002A5371" w:rsidP="002A5371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69%-76</w:t>
            </w:r>
            <w:r w:rsidRPr="0053270B">
              <w:rPr>
                <w:rFonts w:eastAsia="Arial Unicode MS"/>
                <w:sz w:val="18"/>
                <w:szCs w:val="18"/>
                <w:lang w:val="en-GB" w:eastAsia="pl-PL"/>
              </w:rPr>
              <w:t>%Learning programme content on the basic level,  answers systematized, requires assistance from  the teacher.</w:t>
            </w:r>
          </w:p>
        </w:tc>
      </w:tr>
      <w:tr w:rsidR="002A5371" w:rsidRPr="00F616DB" w:rsidTr="00937612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71" w:rsidRPr="00AC669C" w:rsidRDefault="002A5371" w:rsidP="002A537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AC669C" w:rsidRDefault="002A5371" w:rsidP="002A537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71" w:rsidRPr="0053270B" w:rsidRDefault="002A5371" w:rsidP="002A5371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77</w:t>
            </w:r>
            <w:r w:rsidRPr="0053270B">
              <w:rPr>
                <w:rFonts w:eastAsia="Arial Unicode MS"/>
                <w:sz w:val="18"/>
                <w:szCs w:val="18"/>
                <w:lang w:val="en-GB" w:eastAsia="pl-PL"/>
              </w:rPr>
              <w:t>%-8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>4</w:t>
            </w:r>
            <w:r w:rsidRPr="0053270B">
              <w:rPr>
                <w:rFonts w:eastAsia="Arial Unicode MS"/>
                <w:sz w:val="18"/>
                <w:szCs w:val="18"/>
                <w:lang w:val="en-GB" w:eastAsia="pl-PL"/>
              </w:rPr>
              <w:t>%Mastering course content at the primary level, response systematized, independent.</w:t>
            </w:r>
          </w:p>
          <w:p w:rsidR="002A5371" w:rsidRPr="00827491" w:rsidRDefault="002A5371" w:rsidP="002A5371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53270B">
              <w:rPr>
                <w:rFonts w:eastAsia="Arial Unicode MS"/>
                <w:sz w:val="18"/>
                <w:szCs w:val="18"/>
                <w:lang w:val="en-GB" w:eastAsia="pl-PL"/>
              </w:rPr>
              <w:t>Solving problems in typical situations.</w:t>
            </w:r>
          </w:p>
        </w:tc>
      </w:tr>
      <w:tr w:rsidR="002A5371" w:rsidRPr="00EE2575" w:rsidTr="00937612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71" w:rsidRPr="00AC669C" w:rsidRDefault="002A5371" w:rsidP="002A537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AC669C" w:rsidRDefault="002A5371" w:rsidP="002A537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71" w:rsidRPr="00827491" w:rsidRDefault="002A5371" w:rsidP="002A5371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53270B">
              <w:rPr>
                <w:rFonts w:eastAsia="Arial Unicode MS"/>
                <w:sz w:val="18"/>
                <w:szCs w:val="18"/>
                <w:lang w:val="en-GB" w:eastAsia="pl-PL"/>
              </w:rPr>
              <w:t>8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>5</w:t>
            </w:r>
            <w:r w:rsidRPr="0053270B">
              <w:rPr>
                <w:rFonts w:eastAsia="Arial Unicode MS"/>
                <w:sz w:val="18"/>
                <w:szCs w:val="18"/>
                <w:lang w:val="en-GB" w:eastAsia="pl-PL"/>
              </w:rPr>
              <w:t>%-9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>2</w:t>
            </w:r>
            <w:r w:rsidRPr="0053270B">
              <w:rPr>
                <w:rFonts w:eastAsia="Arial Unicode MS"/>
                <w:sz w:val="18"/>
                <w:szCs w:val="18"/>
                <w:lang w:val="en-GB" w:eastAsia="pl-PL"/>
              </w:rPr>
              <w:t>%The scope of presented knowledge exceeds the basic level based on the supplementary literature provided. Solving of problems in new complex situations</w:t>
            </w:r>
          </w:p>
        </w:tc>
      </w:tr>
      <w:tr w:rsidR="002A5371" w:rsidRPr="00F616DB" w:rsidTr="00937612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AC669C" w:rsidRDefault="002A5371" w:rsidP="002A5371">
            <w:pPr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AC669C" w:rsidRDefault="002A5371" w:rsidP="002A537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71" w:rsidRPr="00827491" w:rsidRDefault="002A5371" w:rsidP="002A5371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53270B">
              <w:rPr>
                <w:rFonts w:eastAsia="Arial Unicode MS"/>
                <w:sz w:val="18"/>
                <w:szCs w:val="18"/>
                <w:lang w:val="en-GB" w:eastAsia="pl-PL"/>
              </w:rPr>
              <w:t>9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>3</w:t>
            </w:r>
            <w:r w:rsidRPr="0053270B">
              <w:rPr>
                <w:rFonts w:eastAsia="Arial Unicode MS"/>
                <w:sz w:val="18"/>
                <w:szCs w:val="18"/>
                <w:lang w:val="en-GB" w:eastAsia="pl-PL"/>
              </w:rPr>
              <w:t>%-100%The scope of presented knowledge exceeds the basic level based on independently acquired scientific source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s of information. </w:t>
            </w:r>
          </w:p>
        </w:tc>
      </w:tr>
      <w:tr w:rsidR="002A5371" w:rsidRPr="00F616DB" w:rsidTr="00937612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5371" w:rsidRPr="00AC669C" w:rsidRDefault="002A5371" w:rsidP="002A5371">
            <w:pPr>
              <w:ind w:left="-57" w:right="-57"/>
              <w:jc w:val="center"/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  <w:t>classes</w:t>
            </w:r>
            <w:r w:rsidRPr="00AC669C">
              <w:rPr>
                <w:rFonts w:eastAsia="Arial Unicode MS"/>
                <w:b/>
                <w:spacing w:val="-5"/>
                <w:sz w:val="20"/>
                <w:szCs w:val="20"/>
                <w:lang w:val="en-GB" w:eastAsia="pl-PL"/>
              </w:rPr>
              <w:t xml:space="preserve">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AC669C" w:rsidRDefault="002A5371" w:rsidP="002A537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71" w:rsidRPr="00827491" w:rsidRDefault="002A5371" w:rsidP="002A5371">
            <w:pPr>
              <w:ind w:right="113"/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61</w:t>
            </w:r>
            <w:r w:rsidRPr="0053270B">
              <w:rPr>
                <w:rFonts w:eastAsia="Arial Unicode MS"/>
                <w:sz w:val="18"/>
                <w:szCs w:val="18"/>
                <w:lang w:val="en-GB" w:eastAsia="pl-PL"/>
              </w:rPr>
              <w:t>%- 6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>8</w:t>
            </w:r>
            <w:r w:rsidRPr="0053270B">
              <w:rPr>
                <w:rFonts w:eastAsia="Arial Unicode MS"/>
                <w:sz w:val="18"/>
                <w:szCs w:val="18"/>
                <w:lang w:val="en-GB" w:eastAsia="pl-PL"/>
              </w:rPr>
              <w:t xml:space="preserve">%Learning programme content on the basic level, replies chaotic, leading questions necessary.  </w:t>
            </w:r>
          </w:p>
        </w:tc>
      </w:tr>
      <w:tr w:rsidR="002A5371" w:rsidRPr="00F616DB" w:rsidTr="00937612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71" w:rsidRPr="00AC669C" w:rsidRDefault="002A5371" w:rsidP="002A537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AC669C" w:rsidRDefault="002A5371" w:rsidP="002A537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71" w:rsidRPr="00827491" w:rsidRDefault="002A5371" w:rsidP="002A5371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69%-76</w:t>
            </w:r>
            <w:r w:rsidRPr="0053270B">
              <w:rPr>
                <w:rFonts w:eastAsia="Arial Unicode MS"/>
                <w:sz w:val="18"/>
                <w:szCs w:val="18"/>
                <w:lang w:val="en-GB" w:eastAsia="pl-PL"/>
              </w:rPr>
              <w:t>%Learning programme content on the basic level,  answers systematized, requires assistance from  the teacher.</w:t>
            </w:r>
          </w:p>
        </w:tc>
      </w:tr>
      <w:tr w:rsidR="002A5371" w:rsidRPr="00F616DB" w:rsidTr="00937612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71" w:rsidRPr="00AC669C" w:rsidRDefault="002A5371" w:rsidP="002A537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AC669C" w:rsidRDefault="002A5371" w:rsidP="002A537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71" w:rsidRPr="0053270B" w:rsidRDefault="002A5371" w:rsidP="002A5371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77%-84</w:t>
            </w:r>
            <w:r w:rsidRPr="0053270B">
              <w:rPr>
                <w:rFonts w:eastAsia="Arial Unicode MS"/>
                <w:sz w:val="18"/>
                <w:szCs w:val="18"/>
                <w:lang w:val="en-GB" w:eastAsia="pl-PL"/>
              </w:rPr>
              <w:t>%Mastering course content at the primary level, response systematized, independent.</w:t>
            </w:r>
          </w:p>
          <w:p w:rsidR="002A5371" w:rsidRPr="00827491" w:rsidRDefault="002A5371" w:rsidP="002A5371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53270B">
              <w:rPr>
                <w:rFonts w:eastAsia="Arial Unicode MS"/>
                <w:sz w:val="18"/>
                <w:szCs w:val="18"/>
                <w:lang w:val="en-GB" w:eastAsia="pl-PL"/>
              </w:rPr>
              <w:t>Solving problems in typical situations.</w:t>
            </w:r>
          </w:p>
        </w:tc>
      </w:tr>
      <w:tr w:rsidR="002A5371" w:rsidRPr="00EE2575" w:rsidTr="00937612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5371" w:rsidRPr="00AC669C" w:rsidRDefault="002A5371" w:rsidP="002A5371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AC669C" w:rsidRDefault="002A5371" w:rsidP="002A5371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71" w:rsidRPr="00827491" w:rsidRDefault="002A5371" w:rsidP="002A5371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53270B">
              <w:rPr>
                <w:rFonts w:eastAsia="Arial Unicode MS"/>
                <w:sz w:val="18"/>
                <w:szCs w:val="18"/>
                <w:lang w:val="en-GB" w:eastAsia="pl-PL"/>
              </w:rPr>
              <w:t>8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>5%-92</w:t>
            </w:r>
            <w:r w:rsidRPr="0053270B">
              <w:rPr>
                <w:rFonts w:eastAsia="Arial Unicode MS"/>
                <w:sz w:val="18"/>
                <w:szCs w:val="18"/>
                <w:lang w:val="en-GB" w:eastAsia="pl-PL"/>
              </w:rPr>
              <w:t>%The scope of presented knowledge exceeds the basic level based on the supplementary literature provided. Solving of problems in new complex situations</w:t>
            </w:r>
          </w:p>
        </w:tc>
      </w:tr>
      <w:tr w:rsidR="002A5371" w:rsidRPr="00F616DB" w:rsidTr="00937612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AC669C" w:rsidRDefault="002A5371" w:rsidP="002A5371">
            <w:pPr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71" w:rsidRPr="00AC669C" w:rsidRDefault="002A5371" w:rsidP="002A5371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71" w:rsidRPr="00827491" w:rsidRDefault="002A5371" w:rsidP="002A5371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53270B">
              <w:rPr>
                <w:rFonts w:eastAsia="Arial Unicode MS"/>
                <w:sz w:val="18"/>
                <w:szCs w:val="18"/>
                <w:lang w:val="en-GB" w:eastAsia="pl-PL"/>
              </w:rPr>
              <w:t>9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>3</w:t>
            </w:r>
            <w:r w:rsidRPr="0053270B">
              <w:rPr>
                <w:rFonts w:eastAsia="Arial Unicode MS"/>
                <w:sz w:val="18"/>
                <w:szCs w:val="18"/>
                <w:lang w:val="en-GB" w:eastAsia="pl-PL"/>
              </w:rPr>
              <w:t>%-100%The scope of presented knowledge exceeds the basic level based on independently acquired scie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ntific sources of information. </w:t>
            </w:r>
          </w:p>
        </w:tc>
      </w:tr>
    </w:tbl>
    <w:p w:rsidR="002A5371" w:rsidRDefault="002A5371" w:rsidP="002A5371">
      <w:pPr>
        <w:rPr>
          <w:lang w:val="en-GB"/>
        </w:rPr>
      </w:pPr>
    </w:p>
    <w:p w:rsidR="0005191A" w:rsidRPr="0005191A" w:rsidRDefault="0005191A" w:rsidP="0005191A">
      <w:pPr>
        <w:rPr>
          <w:rFonts w:eastAsia="Calibri"/>
          <w:b/>
          <w:sz w:val="20"/>
          <w:szCs w:val="20"/>
          <w:lang w:val="en-US" w:eastAsia="pl-PL"/>
        </w:rPr>
      </w:pPr>
      <w:r w:rsidRPr="0005191A">
        <w:rPr>
          <w:rFonts w:eastAsia="Calibri"/>
          <w:b/>
          <w:sz w:val="20"/>
          <w:szCs w:val="20"/>
          <w:lang w:val="en-US" w:eastAsia="pl-PL"/>
        </w:rPr>
        <w:t>Conditions for obtaining credit.</w:t>
      </w:r>
    </w:p>
    <w:p w:rsidR="0005191A" w:rsidRPr="0005191A" w:rsidRDefault="0005191A" w:rsidP="0005191A">
      <w:pPr>
        <w:rPr>
          <w:rFonts w:eastAsia="Calibri"/>
          <w:sz w:val="20"/>
          <w:szCs w:val="20"/>
          <w:lang w:val="en-US" w:eastAsia="pl-PL"/>
        </w:rPr>
      </w:pPr>
      <w:r w:rsidRPr="0005191A">
        <w:rPr>
          <w:rFonts w:eastAsia="Calibri"/>
          <w:sz w:val="20"/>
          <w:szCs w:val="20"/>
          <w:lang w:val="en-US" w:eastAsia="pl-PL"/>
        </w:rPr>
        <w:t>The prerequisite is to obtain credits for all classes: lectures –mandatory presence,  classes– presence in all classes and an active participation in the classes according to the schedule. In case of excused absence – the obligation of making up classes after consultation with an assistant professor.</w:t>
      </w:r>
    </w:p>
    <w:p w:rsidR="0005191A" w:rsidRPr="0005191A" w:rsidRDefault="0005191A" w:rsidP="0005191A">
      <w:pPr>
        <w:rPr>
          <w:rFonts w:eastAsia="Calibri"/>
          <w:sz w:val="20"/>
          <w:szCs w:val="20"/>
          <w:lang w:val="en-US" w:eastAsia="pl-PL"/>
        </w:rPr>
      </w:pPr>
      <w:r w:rsidRPr="0005191A">
        <w:rPr>
          <w:rFonts w:eastAsia="Calibri"/>
          <w:sz w:val="20"/>
          <w:szCs w:val="20"/>
          <w:lang w:val="en-US" w:eastAsia="pl-PL"/>
        </w:rPr>
        <w:t>The exam in the form of a written test with a grade.</w:t>
      </w:r>
    </w:p>
    <w:p w:rsidR="0005191A" w:rsidRPr="0005191A" w:rsidRDefault="0005191A" w:rsidP="003D5E6A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2A5371" w:rsidRPr="00EE2575" w:rsidRDefault="002A5371" w:rsidP="002A5371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bookmarkStart w:id="0" w:name="_GoBack"/>
      <w:bookmarkEnd w:id="0"/>
      <w:r w:rsidRPr="00EE2575">
        <w:rPr>
          <w:b/>
          <w:sz w:val="20"/>
          <w:szCs w:val="20"/>
          <w:lang w:val="en-GB"/>
        </w:rPr>
        <w:lastRenderedPageBreak/>
        <w:t xml:space="preserve">BALANCE OF ECTS  CREDITS – </w:t>
      </w:r>
      <w:r>
        <w:rPr>
          <w:b/>
          <w:sz w:val="20"/>
          <w:szCs w:val="20"/>
          <w:lang w:val="en-GB"/>
        </w:rPr>
        <w:t xml:space="preserve">STUDENT’S WORK INPUT </w:t>
      </w:r>
    </w:p>
    <w:tbl>
      <w:tblPr>
        <w:tblW w:w="9781" w:type="dxa"/>
        <w:tblInd w:w="-34" w:type="dxa"/>
        <w:tblLayout w:type="fixed"/>
        <w:tblLook w:val="0000"/>
      </w:tblPr>
      <w:tblGrid>
        <w:gridCol w:w="6617"/>
        <w:gridCol w:w="3164"/>
      </w:tblGrid>
      <w:tr w:rsidR="002A5371" w:rsidRPr="00EE2575" w:rsidTr="00937612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371" w:rsidRPr="00EE2575" w:rsidRDefault="002A5371" w:rsidP="00937612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371" w:rsidRPr="00EE2575" w:rsidRDefault="002A5371" w:rsidP="00937612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Student's workload</w:t>
            </w:r>
          </w:p>
        </w:tc>
      </w:tr>
      <w:tr w:rsidR="00BA10B2" w:rsidRPr="00EE2575" w:rsidTr="00F8317F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0B2" w:rsidRPr="00EE2575" w:rsidRDefault="00BA10B2" w:rsidP="00937612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0B2" w:rsidRPr="00EE2575" w:rsidRDefault="00BA10B2" w:rsidP="00937612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EE2575">
              <w:rPr>
                <w:b/>
                <w:sz w:val="16"/>
                <w:szCs w:val="16"/>
                <w:lang w:val="en-GB"/>
              </w:rPr>
              <w:t>Full-time</w:t>
            </w:r>
          </w:p>
          <w:p w:rsidR="00BA10B2" w:rsidRPr="00EE2575" w:rsidRDefault="00BA10B2" w:rsidP="00937612">
            <w:pPr>
              <w:snapToGrid w:val="0"/>
              <w:jc w:val="center"/>
              <w:rPr>
                <w:b/>
                <w:sz w:val="16"/>
                <w:szCs w:val="16"/>
                <w:lang w:val="en-GB"/>
              </w:rPr>
            </w:pPr>
            <w:r w:rsidRPr="00EE2575">
              <w:rPr>
                <w:b/>
                <w:sz w:val="16"/>
                <w:szCs w:val="16"/>
                <w:lang w:val="en-GB"/>
              </w:rPr>
              <w:t>studies</w:t>
            </w:r>
          </w:p>
        </w:tc>
      </w:tr>
      <w:tr w:rsidR="0005191A" w:rsidRPr="00EE2575" w:rsidTr="00781680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5191A" w:rsidRPr="00EE2575" w:rsidRDefault="0005191A" w:rsidP="0005191A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191A" w:rsidRPr="00827491" w:rsidRDefault="00C2632A" w:rsidP="0005191A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3</w:t>
            </w:r>
            <w:r w:rsidR="0005191A">
              <w:rPr>
                <w:b/>
                <w:sz w:val="20"/>
                <w:szCs w:val="20"/>
                <w:lang w:val="en-GB"/>
              </w:rPr>
              <w:t>5</w:t>
            </w:r>
          </w:p>
        </w:tc>
      </w:tr>
      <w:tr w:rsidR="0005191A" w:rsidRPr="00EE2575" w:rsidTr="00BE7C6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91A" w:rsidRPr="00EE2575" w:rsidRDefault="0005191A" w:rsidP="0005191A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91A" w:rsidRPr="00827491" w:rsidRDefault="0005191A" w:rsidP="0005191A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15</w:t>
            </w:r>
          </w:p>
        </w:tc>
      </w:tr>
      <w:tr w:rsidR="0005191A" w:rsidRPr="00EE2575" w:rsidTr="00AC76B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91A" w:rsidRPr="00EE2575" w:rsidRDefault="0005191A" w:rsidP="0005191A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91A" w:rsidRPr="00827491" w:rsidRDefault="00C2632A" w:rsidP="0005191A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</w:t>
            </w:r>
            <w:r w:rsidR="0005191A">
              <w:rPr>
                <w:b/>
                <w:sz w:val="20"/>
                <w:szCs w:val="20"/>
                <w:lang w:val="en-GB"/>
              </w:rPr>
              <w:t>0</w:t>
            </w:r>
          </w:p>
        </w:tc>
      </w:tr>
      <w:tr w:rsidR="0005191A" w:rsidRPr="00F616DB" w:rsidTr="0094164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91A" w:rsidRPr="00EE2575" w:rsidRDefault="0005191A" w:rsidP="0005191A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91A" w:rsidRPr="00827491" w:rsidRDefault="0005191A" w:rsidP="0005191A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05191A" w:rsidRPr="00EE2575" w:rsidTr="00C7080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91A" w:rsidRPr="00EE2575" w:rsidRDefault="0005191A" w:rsidP="0005191A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91A" w:rsidRPr="00827491" w:rsidRDefault="0005191A" w:rsidP="0005191A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05191A" w:rsidRPr="00EE2575" w:rsidTr="00F9142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5191A" w:rsidRPr="00EE2575" w:rsidRDefault="0005191A" w:rsidP="0005191A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191A" w:rsidRPr="00827491" w:rsidRDefault="00C2632A" w:rsidP="0005191A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</w:t>
            </w:r>
            <w:r w:rsidR="0005191A">
              <w:rPr>
                <w:b/>
                <w:sz w:val="20"/>
                <w:szCs w:val="20"/>
                <w:lang w:val="en-GB"/>
              </w:rPr>
              <w:t>5</w:t>
            </w:r>
          </w:p>
        </w:tc>
      </w:tr>
      <w:tr w:rsidR="0005191A" w:rsidRPr="00EE2575" w:rsidTr="009A36C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91A" w:rsidRPr="00EE2575" w:rsidRDefault="0005191A" w:rsidP="0005191A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91A" w:rsidRPr="00827491" w:rsidRDefault="00C2632A" w:rsidP="00C2632A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</w:t>
            </w:r>
          </w:p>
        </w:tc>
      </w:tr>
      <w:tr w:rsidR="0005191A" w:rsidRPr="00EE2575" w:rsidTr="00684615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91A" w:rsidRPr="00EE2575" w:rsidRDefault="0005191A" w:rsidP="0005191A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91A" w:rsidRPr="00827491" w:rsidRDefault="00C2632A" w:rsidP="00C2632A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</w:t>
            </w:r>
          </w:p>
        </w:tc>
      </w:tr>
      <w:tr w:rsidR="0005191A" w:rsidRPr="00F616DB" w:rsidTr="009656A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91A" w:rsidRPr="00EE2575" w:rsidRDefault="0005191A" w:rsidP="0005191A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91A" w:rsidRPr="00827491" w:rsidRDefault="0005191A" w:rsidP="0005191A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05191A" w:rsidRPr="00F616DB" w:rsidTr="0008310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91A" w:rsidRPr="00EE2575" w:rsidRDefault="0005191A" w:rsidP="0005191A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91A" w:rsidRPr="00827491" w:rsidRDefault="0005191A" w:rsidP="0005191A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05191A" w:rsidRPr="00EE2575" w:rsidTr="002E213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91A" w:rsidRPr="00EE2575" w:rsidRDefault="0005191A" w:rsidP="0005191A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91A" w:rsidRPr="00827491" w:rsidRDefault="0005191A" w:rsidP="0005191A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05191A" w:rsidRPr="00F616DB" w:rsidTr="00AF2A58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91A" w:rsidRPr="00EE2575" w:rsidRDefault="0005191A" w:rsidP="0005191A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</w:t>
            </w:r>
            <w:r>
              <w:rPr>
                <w:i/>
                <w:sz w:val="18"/>
                <w:szCs w:val="18"/>
                <w:lang w:val="en-GB"/>
              </w:rPr>
              <w:t xml:space="preserve"> (please specify e.g. e-learning)</w:t>
            </w:r>
            <w:r w:rsidRPr="00EE2575">
              <w:rPr>
                <w:i/>
                <w:sz w:val="18"/>
                <w:szCs w:val="18"/>
                <w:lang w:val="en-GB"/>
              </w:rPr>
              <w:t>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91A" w:rsidRPr="00827491" w:rsidRDefault="0005191A" w:rsidP="0005191A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05191A" w:rsidRPr="00EE2575" w:rsidTr="00B0188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5191A" w:rsidRPr="00EE2575" w:rsidRDefault="0005191A" w:rsidP="0005191A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191A" w:rsidRPr="00827491" w:rsidRDefault="00C2632A" w:rsidP="0005191A">
            <w:pPr>
              <w:tabs>
                <w:tab w:val="left" w:pos="990"/>
              </w:tabs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50</w:t>
            </w:r>
          </w:p>
        </w:tc>
      </w:tr>
      <w:tr w:rsidR="0005191A" w:rsidRPr="00EE2575" w:rsidTr="001A7847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5191A" w:rsidRPr="00EE2575" w:rsidRDefault="0005191A" w:rsidP="0005191A">
            <w:pPr>
              <w:snapToGrid w:val="0"/>
              <w:rPr>
                <w:sz w:val="18"/>
                <w:szCs w:val="18"/>
                <w:lang w:val="en-GB"/>
              </w:rPr>
            </w:pPr>
            <w:r w:rsidRPr="00EE2575">
              <w:rPr>
                <w:sz w:val="18"/>
                <w:szCs w:val="18"/>
                <w:lang w:val="en-GB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5191A" w:rsidRPr="00827491" w:rsidRDefault="00C2632A" w:rsidP="0005191A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</w:t>
            </w:r>
          </w:p>
        </w:tc>
      </w:tr>
    </w:tbl>
    <w:p w:rsidR="002A5371" w:rsidRDefault="002A5371" w:rsidP="002A5371">
      <w:pPr>
        <w:rPr>
          <w:b/>
          <w:i/>
          <w:sz w:val="16"/>
          <w:szCs w:val="16"/>
          <w:lang w:val="en-GB"/>
        </w:rPr>
      </w:pPr>
      <w:r w:rsidRPr="00E51073">
        <w:rPr>
          <w:b/>
          <w:i/>
          <w:sz w:val="16"/>
          <w:szCs w:val="16"/>
          <w:lang w:val="en-GB"/>
        </w:rPr>
        <w:t>*delete as appropriate</w:t>
      </w:r>
    </w:p>
    <w:p w:rsidR="002A5371" w:rsidRPr="00E51073" w:rsidRDefault="002A5371" w:rsidP="002A5371">
      <w:pPr>
        <w:rPr>
          <w:b/>
          <w:i/>
          <w:sz w:val="16"/>
          <w:szCs w:val="16"/>
          <w:lang w:val="en-GB"/>
        </w:rPr>
      </w:pPr>
    </w:p>
    <w:p w:rsidR="002A5371" w:rsidRPr="00114080" w:rsidRDefault="002A5371" w:rsidP="002A5371">
      <w:pPr>
        <w:rPr>
          <w:i/>
          <w:sz w:val="16"/>
          <w:szCs w:val="16"/>
          <w:lang w:val="en-GB"/>
        </w:rPr>
      </w:pPr>
      <w:r>
        <w:rPr>
          <w:b/>
          <w:i/>
          <w:sz w:val="18"/>
          <w:szCs w:val="18"/>
          <w:lang w:val="en-GB"/>
        </w:rPr>
        <w:t>A</w:t>
      </w:r>
      <w:r w:rsidRPr="00EE2575">
        <w:rPr>
          <w:b/>
          <w:i/>
          <w:sz w:val="18"/>
          <w:szCs w:val="18"/>
          <w:lang w:val="en-GB"/>
        </w:rPr>
        <w:t>ccept</w:t>
      </w:r>
      <w:r>
        <w:rPr>
          <w:b/>
          <w:i/>
          <w:sz w:val="18"/>
          <w:szCs w:val="18"/>
          <w:lang w:val="en-GB"/>
        </w:rPr>
        <w:t xml:space="preserve">ed for execution </w:t>
      </w:r>
      <w:r>
        <w:rPr>
          <w:i/>
          <w:sz w:val="14"/>
          <w:szCs w:val="14"/>
          <w:lang w:val="en-GB"/>
        </w:rPr>
        <w:t>(date</w:t>
      </w:r>
      <w:r w:rsidRPr="00EE2575">
        <w:rPr>
          <w:i/>
          <w:sz w:val="14"/>
          <w:szCs w:val="14"/>
          <w:lang w:val="en-GB"/>
        </w:rPr>
        <w:t xml:space="preserve"> and</w:t>
      </w:r>
      <w:r>
        <w:rPr>
          <w:i/>
          <w:sz w:val="14"/>
          <w:szCs w:val="14"/>
          <w:lang w:val="en-GB"/>
        </w:rPr>
        <w:t xml:space="preserve"> legible</w:t>
      </w:r>
      <w:r w:rsidRPr="00EE2575">
        <w:rPr>
          <w:i/>
          <w:sz w:val="14"/>
          <w:szCs w:val="14"/>
          <w:lang w:val="en-GB"/>
        </w:rPr>
        <w:t xml:space="preserve"> signatures of the teachers running the course in the given academic year)</w:t>
      </w:r>
    </w:p>
    <w:p w:rsidR="002A5371" w:rsidRDefault="002A5371" w:rsidP="002A5371">
      <w:pPr>
        <w:ind w:left="1416"/>
        <w:rPr>
          <w:i/>
          <w:sz w:val="16"/>
          <w:szCs w:val="16"/>
          <w:lang w:val="en-GB"/>
        </w:rPr>
      </w:pPr>
    </w:p>
    <w:p w:rsidR="002A5371" w:rsidRPr="00EE2575" w:rsidRDefault="002A5371" w:rsidP="002A5371">
      <w:pPr>
        <w:ind w:left="1416"/>
        <w:rPr>
          <w:i/>
          <w:sz w:val="16"/>
          <w:szCs w:val="16"/>
          <w:lang w:val="en-GB"/>
        </w:rPr>
      </w:pPr>
      <w:r w:rsidRPr="00EE2575">
        <w:rPr>
          <w:i/>
          <w:sz w:val="16"/>
          <w:szCs w:val="16"/>
          <w:lang w:val="en-GB"/>
        </w:rPr>
        <w:t>.......................................................................................................................</w:t>
      </w:r>
    </w:p>
    <w:p w:rsidR="008D1ACB" w:rsidRDefault="008D1ACB"/>
    <w:sectPr w:rsidR="008D1ACB" w:rsidSect="008E4CED">
      <w:head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A15" w:rsidRDefault="00463A15">
      <w:r>
        <w:separator/>
      </w:r>
    </w:p>
  </w:endnote>
  <w:endnote w:type="continuationSeparator" w:id="1">
    <w:p w:rsidR="00463A15" w:rsidRDefault="00463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A15" w:rsidRDefault="00463A15">
      <w:r>
        <w:separator/>
      </w:r>
    </w:p>
  </w:footnote>
  <w:footnote w:type="continuationSeparator" w:id="1">
    <w:p w:rsidR="00463A15" w:rsidRDefault="00463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ED" w:rsidRPr="00EE2575" w:rsidRDefault="00F616DB" w:rsidP="008E4CED">
    <w:pPr>
      <w:jc w:val="right"/>
      <w:rPr>
        <w:b/>
        <w:sz w:val="16"/>
        <w:szCs w:val="16"/>
        <w:lang w:val="en-GB"/>
      </w:rPr>
    </w:pPr>
  </w:p>
  <w:p w:rsidR="00A915F3" w:rsidRDefault="00F616D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371"/>
    <w:rsid w:val="000072BE"/>
    <w:rsid w:val="00016B6F"/>
    <w:rsid w:val="0005191A"/>
    <w:rsid w:val="00171C71"/>
    <w:rsid w:val="001F6724"/>
    <w:rsid w:val="002A5371"/>
    <w:rsid w:val="002B4DB6"/>
    <w:rsid w:val="00350B73"/>
    <w:rsid w:val="00373DA2"/>
    <w:rsid w:val="003D5E6A"/>
    <w:rsid w:val="00404DD1"/>
    <w:rsid w:val="00417EA6"/>
    <w:rsid w:val="00463A15"/>
    <w:rsid w:val="004E2E82"/>
    <w:rsid w:val="004E3F50"/>
    <w:rsid w:val="00564BD3"/>
    <w:rsid w:val="006943C4"/>
    <w:rsid w:val="0070757C"/>
    <w:rsid w:val="00733958"/>
    <w:rsid w:val="007543D2"/>
    <w:rsid w:val="007E017C"/>
    <w:rsid w:val="008D1ACB"/>
    <w:rsid w:val="008D7A20"/>
    <w:rsid w:val="00911DC1"/>
    <w:rsid w:val="00945677"/>
    <w:rsid w:val="009A042F"/>
    <w:rsid w:val="009A2794"/>
    <w:rsid w:val="00A14278"/>
    <w:rsid w:val="00A5349E"/>
    <w:rsid w:val="00B05348"/>
    <w:rsid w:val="00B15680"/>
    <w:rsid w:val="00BA10B2"/>
    <w:rsid w:val="00BC56AA"/>
    <w:rsid w:val="00C2632A"/>
    <w:rsid w:val="00CD173B"/>
    <w:rsid w:val="00DB5933"/>
    <w:rsid w:val="00F616DB"/>
    <w:rsid w:val="00F8394D"/>
    <w:rsid w:val="00F925AC"/>
    <w:rsid w:val="00FA65B2"/>
    <w:rsid w:val="00FD5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371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gt-text">
    <w:name w:val="gt-text"/>
    <w:basedOn w:val="Domylnaczcionkaakapitu"/>
    <w:rsid w:val="002A5371"/>
  </w:style>
  <w:style w:type="table" w:customStyle="1" w:styleId="TableGrid">
    <w:name w:val="TableGrid"/>
    <w:rsid w:val="003D5E6A"/>
    <w:pPr>
      <w:spacing w:after="0" w:line="240" w:lineRule="auto"/>
    </w:pPr>
    <w:rPr>
      <w:rFonts w:eastAsia="Times New Roman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Emilka</cp:lastModifiedBy>
  <cp:revision>4</cp:revision>
  <dcterms:created xsi:type="dcterms:W3CDTF">2019-11-27T14:05:00Z</dcterms:created>
  <dcterms:modified xsi:type="dcterms:W3CDTF">2020-05-22T07:55:00Z</dcterms:modified>
</cp:coreProperties>
</file>